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C6193">
      <w:pPr>
        <w:widowControl/>
        <w:spacing w:line="360" w:lineRule="auto"/>
        <w:jc w:val="left"/>
        <w:rPr>
          <w:rFonts w:ascii="宋体" w:eastAsia="宋体"/>
          <w:sz w:val="32"/>
          <w:szCs w:val="32"/>
        </w:rPr>
      </w:pPr>
    </w:p>
    <w:p w14:paraId="69042FB1">
      <w:pPr>
        <w:widowControl/>
        <w:spacing w:line="360" w:lineRule="auto"/>
        <w:jc w:val="left"/>
        <w:rPr>
          <w:rFonts w:ascii="宋体" w:eastAsia="宋体"/>
          <w:sz w:val="44"/>
          <w:szCs w:val="44"/>
        </w:rPr>
      </w:pPr>
    </w:p>
    <w:p w14:paraId="042CBDB8">
      <w:pPr>
        <w:widowControl/>
        <w:spacing w:line="360" w:lineRule="auto"/>
        <w:jc w:val="left"/>
        <w:rPr>
          <w:rFonts w:ascii="宋体" w:eastAsia="宋体"/>
          <w:sz w:val="44"/>
          <w:szCs w:val="44"/>
        </w:rPr>
      </w:pPr>
    </w:p>
    <w:p w14:paraId="366B5D1C">
      <w:pPr>
        <w:widowControl/>
        <w:spacing w:line="360" w:lineRule="auto"/>
        <w:jc w:val="left"/>
        <w:rPr>
          <w:rFonts w:ascii="宋体" w:eastAsia="宋体"/>
          <w:sz w:val="44"/>
          <w:szCs w:val="44"/>
        </w:rPr>
      </w:pPr>
    </w:p>
    <w:p w14:paraId="23FAED5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rPr>
      </w:pPr>
      <w:r>
        <w:rPr>
          <w:rFonts w:hint="eastAsia" w:ascii="方正小标宋_GBK" w:hAnsi="宋体" w:eastAsia="方正小标宋_GBK" w:cs="Times New Roman"/>
          <w:kern w:val="2"/>
          <w:sz w:val="44"/>
          <w:szCs w:val="44"/>
          <w:highlight w:val="none"/>
        </w:rPr>
        <w:t>新疆维吾尔自治区自然资源信息中心（新疆维吾尔自治区自然资源档案馆）</w:t>
      </w:r>
    </w:p>
    <w:p w14:paraId="011F348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eastAsia="黑体"/>
          <w:sz w:val="44"/>
          <w:szCs w:val="44"/>
        </w:rPr>
      </w:pPr>
      <w:r>
        <w:rPr>
          <w:rFonts w:hint="eastAsia" w:ascii="方正小标宋_GBK" w:hAnsi="宋体" w:eastAsia="方正小标宋_GBK" w:cs="Times New Roman"/>
          <w:kern w:val="2"/>
          <w:sz w:val="44"/>
          <w:szCs w:val="44"/>
          <w:highlight w:val="none"/>
        </w:rPr>
        <w:t>2025年度部门决算公开说明</w:t>
      </w:r>
    </w:p>
    <w:p w14:paraId="3B3DB5F7">
      <w:pPr>
        <w:widowControl/>
        <w:spacing w:line="360" w:lineRule="auto"/>
      </w:pPr>
      <w:r>
        <w:rPr>
          <w:sz w:val="0"/>
          <w:szCs w:val="0"/>
        </w:rPr>
        <w:br w:type="page"/>
      </w:r>
    </w:p>
    <w:p w14:paraId="5FDCECDC">
      <w:pPr>
        <w:widowControl/>
        <w:spacing w:line="360" w:lineRule="auto"/>
        <w:jc w:val="center"/>
        <w:rPr>
          <w:rFonts w:ascii="黑体" w:eastAsia="黑体"/>
          <w:sz w:val="32"/>
          <w:szCs w:val="32"/>
        </w:rPr>
      </w:pPr>
      <w:r>
        <w:rPr>
          <w:rFonts w:ascii="黑体" w:eastAsia="黑体"/>
          <w:b/>
          <w:sz w:val="32"/>
          <w:szCs w:val="32"/>
        </w:rPr>
        <w:t>目 录</w:t>
      </w:r>
    </w:p>
    <w:p w14:paraId="7813A5F0">
      <w:pPr>
        <w:widowControl/>
        <w:spacing w:line="360" w:lineRule="auto"/>
        <w:jc w:val="left"/>
        <w:rPr>
          <w:rFonts w:ascii="仿宋_GB2312" w:eastAsia="仿宋_GB2312"/>
          <w:sz w:val="32"/>
          <w:szCs w:val="32"/>
        </w:rPr>
      </w:pPr>
      <w:r>
        <w:rPr>
          <w:rFonts w:ascii="仿宋_GB2312" w:eastAsia="仿宋_GB2312"/>
          <w:b/>
          <w:sz w:val="32"/>
          <w:szCs w:val="32"/>
        </w:rPr>
        <w:t>第一部分单位概况</w:t>
      </w:r>
    </w:p>
    <w:p w14:paraId="578B2A5B">
      <w:pPr>
        <w:widowControl/>
        <w:spacing w:line="360" w:lineRule="auto"/>
        <w:jc w:val="left"/>
        <w:rPr>
          <w:rFonts w:ascii="仿宋_GB2312" w:eastAsia="仿宋_GB2312"/>
          <w:sz w:val="32"/>
          <w:szCs w:val="32"/>
        </w:rPr>
      </w:pPr>
      <w:r>
        <w:rPr>
          <w:rFonts w:ascii="仿宋_GB2312" w:eastAsia="仿宋_GB2312"/>
          <w:sz w:val="32"/>
          <w:szCs w:val="32"/>
        </w:rPr>
        <w:t>一、主要职能</w:t>
      </w:r>
    </w:p>
    <w:p w14:paraId="44D1E190">
      <w:pPr>
        <w:widowControl/>
        <w:spacing w:line="360" w:lineRule="auto"/>
        <w:jc w:val="left"/>
        <w:rPr>
          <w:rFonts w:ascii="仿宋_GB2312" w:eastAsia="仿宋_GB2312"/>
          <w:sz w:val="32"/>
          <w:szCs w:val="32"/>
        </w:rPr>
      </w:pPr>
      <w:r>
        <w:rPr>
          <w:rFonts w:ascii="仿宋_GB2312" w:eastAsia="仿宋_GB2312"/>
          <w:sz w:val="32"/>
          <w:szCs w:val="32"/>
        </w:rPr>
        <w:t>二、机构设置</w:t>
      </w:r>
    </w:p>
    <w:p w14:paraId="203E6989">
      <w:pPr>
        <w:widowControl/>
        <w:spacing w:line="360" w:lineRule="auto"/>
        <w:jc w:val="left"/>
        <w:rPr>
          <w:rFonts w:ascii="仿宋_GB2312" w:eastAsia="仿宋_GB2312"/>
          <w:sz w:val="32"/>
          <w:szCs w:val="32"/>
        </w:rPr>
      </w:pPr>
      <w:r>
        <w:rPr>
          <w:rFonts w:ascii="仿宋_GB2312" w:eastAsia="仿宋_GB2312"/>
          <w:b/>
          <w:sz w:val="32"/>
          <w:szCs w:val="32"/>
        </w:rPr>
        <w:t>第二部分 部门决算情况说明</w:t>
      </w:r>
    </w:p>
    <w:p w14:paraId="7F7EAE23">
      <w:pPr>
        <w:widowControl/>
        <w:spacing w:line="360" w:lineRule="auto"/>
        <w:jc w:val="left"/>
        <w:rPr>
          <w:rFonts w:ascii="仿宋_GB2312" w:eastAsia="仿宋_GB2312"/>
          <w:sz w:val="32"/>
          <w:szCs w:val="32"/>
        </w:rPr>
      </w:pPr>
      <w:r>
        <w:rPr>
          <w:rFonts w:ascii="仿宋_GB2312" w:eastAsia="仿宋_GB2312"/>
          <w:sz w:val="32"/>
          <w:szCs w:val="32"/>
        </w:rPr>
        <w:t>一、收入支出决算总体情况说明</w:t>
      </w:r>
    </w:p>
    <w:p w14:paraId="7483D9EE">
      <w:pPr>
        <w:widowControl/>
        <w:spacing w:line="360" w:lineRule="auto"/>
        <w:jc w:val="left"/>
        <w:rPr>
          <w:rFonts w:ascii="仿宋_GB2312" w:eastAsia="仿宋_GB2312"/>
          <w:sz w:val="32"/>
          <w:szCs w:val="32"/>
        </w:rPr>
      </w:pPr>
      <w:r>
        <w:rPr>
          <w:rFonts w:ascii="仿宋_GB2312" w:eastAsia="仿宋_GB2312"/>
          <w:sz w:val="32"/>
          <w:szCs w:val="32"/>
        </w:rPr>
        <w:t>二、收入决算情况说明</w:t>
      </w:r>
    </w:p>
    <w:p w14:paraId="26A62275">
      <w:pPr>
        <w:widowControl/>
        <w:spacing w:line="360" w:lineRule="auto"/>
        <w:jc w:val="left"/>
        <w:rPr>
          <w:rFonts w:ascii="仿宋_GB2312" w:eastAsia="仿宋_GB2312"/>
          <w:sz w:val="32"/>
          <w:szCs w:val="32"/>
        </w:rPr>
      </w:pPr>
      <w:r>
        <w:rPr>
          <w:rFonts w:ascii="仿宋_GB2312" w:eastAsia="仿宋_GB2312"/>
          <w:sz w:val="32"/>
          <w:szCs w:val="32"/>
        </w:rPr>
        <w:t>三、支出决算情况说明</w:t>
      </w:r>
    </w:p>
    <w:p w14:paraId="08FB3F77">
      <w:pPr>
        <w:widowControl/>
        <w:spacing w:line="360" w:lineRule="auto"/>
        <w:jc w:val="left"/>
        <w:rPr>
          <w:rFonts w:ascii="仿宋_GB2312" w:eastAsia="仿宋_GB2312"/>
          <w:sz w:val="32"/>
          <w:szCs w:val="32"/>
        </w:rPr>
      </w:pPr>
      <w:r>
        <w:rPr>
          <w:rFonts w:ascii="仿宋_GB2312" w:eastAsia="仿宋_GB2312"/>
          <w:sz w:val="32"/>
          <w:szCs w:val="32"/>
        </w:rPr>
        <w:t>四、财政拨款收入支出决算总体情况说明</w:t>
      </w:r>
    </w:p>
    <w:p w14:paraId="496BAC2E">
      <w:pPr>
        <w:widowControl/>
        <w:spacing w:line="360" w:lineRule="auto"/>
        <w:jc w:val="left"/>
        <w:rPr>
          <w:rFonts w:ascii="仿宋_GB2312" w:eastAsia="仿宋_GB2312"/>
          <w:sz w:val="32"/>
          <w:szCs w:val="32"/>
        </w:rPr>
      </w:pPr>
      <w:r>
        <w:rPr>
          <w:rFonts w:ascii="仿宋_GB2312" w:eastAsia="仿宋_GB2312"/>
          <w:sz w:val="32"/>
          <w:szCs w:val="32"/>
        </w:rPr>
        <w:t>五、一般公共预算财政拨款支出决算情况说明</w:t>
      </w:r>
    </w:p>
    <w:p w14:paraId="35B4F96F">
      <w:pPr>
        <w:widowControl/>
        <w:spacing w:line="360" w:lineRule="auto"/>
        <w:jc w:val="left"/>
        <w:rPr>
          <w:rFonts w:ascii="仿宋_GB2312" w:eastAsia="仿宋_GB2312"/>
          <w:sz w:val="32"/>
          <w:szCs w:val="32"/>
        </w:rPr>
      </w:pPr>
      <w:r>
        <w:rPr>
          <w:rFonts w:ascii="仿宋_GB2312" w:eastAsia="仿宋_GB2312"/>
          <w:sz w:val="32"/>
          <w:szCs w:val="32"/>
        </w:rPr>
        <w:t>（一）一般公共预算财政拨款支出决算总体情况</w:t>
      </w:r>
    </w:p>
    <w:p w14:paraId="7C98E58A">
      <w:pPr>
        <w:widowControl/>
        <w:spacing w:line="360" w:lineRule="auto"/>
        <w:jc w:val="left"/>
        <w:rPr>
          <w:rFonts w:ascii="仿宋_GB2312" w:eastAsia="仿宋_GB2312"/>
          <w:sz w:val="32"/>
          <w:szCs w:val="32"/>
        </w:rPr>
      </w:pPr>
      <w:r>
        <w:rPr>
          <w:rFonts w:ascii="仿宋_GB2312" w:eastAsia="仿宋_GB2312"/>
          <w:sz w:val="32"/>
          <w:szCs w:val="32"/>
        </w:rPr>
        <w:t>（二）一般公共预算财政拨款支出决算结构情况</w:t>
      </w:r>
    </w:p>
    <w:p w14:paraId="5A714E04">
      <w:pPr>
        <w:widowControl/>
        <w:spacing w:line="360" w:lineRule="auto"/>
        <w:jc w:val="left"/>
        <w:rPr>
          <w:rFonts w:ascii="仿宋_GB2312" w:eastAsia="仿宋_GB2312"/>
          <w:sz w:val="32"/>
          <w:szCs w:val="32"/>
        </w:rPr>
      </w:pPr>
      <w:r>
        <w:rPr>
          <w:rFonts w:ascii="仿宋_GB2312" w:eastAsia="仿宋_GB2312"/>
          <w:sz w:val="32"/>
          <w:szCs w:val="32"/>
        </w:rPr>
        <w:t>（三）一般公共预算财政拨款支出决算具体情况</w:t>
      </w:r>
    </w:p>
    <w:p w14:paraId="3D120E68">
      <w:pPr>
        <w:widowControl/>
        <w:spacing w:line="360" w:lineRule="auto"/>
        <w:jc w:val="left"/>
        <w:rPr>
          <w:rFonts w:ascii="仿宋_GB2312" w:eastAsia="仿宋_GB2312"/>
          <w:sz w:val="32"/>
          <w:szCs w:val="32"/>
        </w:rPr>
      </w:pPr>
      <w:r>
        <w:rPr>
          <w:rFonts w:ascii="仿宋_GB2312" w:eastAsia="仿宋_GB2312"/>
          <w:sz w:val="32"/>
          <w:szCs w:val="32"/>
        </w:rPr>
        <w:t>六、一般公共预算财政拨款基本支出决算情况说明</w:t>
      </w:r>
    </w:p>
    <w:p w14:paraId="4FA69AA4">
      <w:pPr>
        <w:widowControl/>
        <w:spacing w:line="360" w:lineRule="auto"/>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460963C6">
      <w:pPr>
        <w:widowControl/>
        <w:spacing w:line="360" w:lineRule="auto"/>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64900F19">
      <w:pPr>
        <w:widowControl/>
        <w:spacing w:line="360" w:lineRule="auto"/>
        <w:jc w:val="left"/>
        <w:rPr>
          <w:rFonts w:ascii="仿宋_GB2312" w:eastAsia="仿宋_GB2312"/>
          <w:sz w:val="32"/>
          <w:szCs w:val="32"/>
        </w:rPr>
      </w:pPr>
      <w:r>
        <w:rPr>
          <w:rFonts w:ascii="仿宋_GB2312" w:eastAsia="仿宋_GB2312"/>
          <w:sz w:val="32"/>
          <w:szCs w:val="32"/>
        </w:rPr>
        <w:t>九、财政拨款“三公”经费支出决算情况说明</w:t>
      </w:r>
    </w:p>
    <w:p w14:paraId="661994F1">
      <w:pPr>
        <w:widowControl/>
        <w:spacing w:line="360" w:lineRule="auto"/>
        <w:jc w:val="left"/>
        <w:rPr>
          <w:rFonts w:ascii="仿宋_GB2312" w:eastAsia="仿宋_GB2312"/>
          <w:sz w:val="32"/>
          <w:szCs w:val="32"/>
        </w:rPr>
      </w:pPr>
      <w:r>
        <w:rPr>
          <w:rFonts w:ascii="仿宋_GB2312" w:eastAsia="仿宋_GB2312"/>
          <w:sz w:val="32"/>
          <w:szCs w:val="32"/>
        </w:rPr>
        <w:t>十、其他重要事项的情况说明</w:t>
      </w:r>
    </w:p>
    <w:p w14:paraId="2F002BE5">
      <w:pPr>
        <w:widowControl/>
        <w:spacing w:line="360" w:lineRule="auto"/>
        <w:jc w:val="left"/>
        <w:rPr>
          <w:rFonts w:ascii="仿宋_GB2312" w:eastAsia="仿宋_GB2312"/>
          <w:sz w:val="32"/>
          <w:szCs w:val="32"/>
        </w:rPr>
      </w:pPr>
      <w:r>
        <w:rPr>
          <w:rFonts w:ascii="仿宋_GB2312" w:eastAsia="仿宋_GB2312"/>
          <w:sz w:val="32"/>
          <w:szCs w:val="32"/>
        </w:rPr>
        <w:t>（一）机关运行经费及公用经费支出情况</w:t>
      </w:r>
    </w:p>
    <w:p w14:paraId="1F7FDA56">
      <w:pPr>
        <w:widowControl/>
        <w:spacing w:line="360" w:lineRule="auto"/>
        <w:jc w:val="left"/>
        <w:rPr>
          <w:rFonts w:ascii="仿宋_GB2312" w:eastAsia="仿宋_GB2312"/>
          <w:sz w:val="32"/>
          <w:szCs w:val="32"/>
        </w:rPr>
      </w:pPr>
      <w:r>
        <w:rPr>
          <w:rFonts w:ascii="仿宋_GB2312" w:eastAsia="仿宋_GB2312"/>
          <w:sz w:val="32"/>
          <w:szCs w:val="32"/>
        </w:rPr>
        <w:t>（二）政府采购情况</w:t>
      </w:r>
    </w:p>
    <w:p w14:paraId="4E4D48E3">
      <w:pPr>
        <w:widowControl/>
        <w:spacing w:line="360" w:lineRule="auto"/>
        <w:jc w:val="left"/>
        <w:rPr>
          <w:rFonts w:ascii="仿宋_GB2312" w:eastAsia="仿宋_GB2312"/>
          <w:sz w:val="32"/>
          <w:szCs w:val="32"/>
        </w:rPr>
      </w:pPr>
      <w:r>
        <w:rPr>
          <w:rFonts w:ascii="仿宋_GB2312" w:eastAsia="仿宋_GB2312"/>
          <w:sz w:val="32"/>
          <w:szCs w:val="32"/>
        </w:rPr>
        <w:t>（三）国有资产占用情况说明</w:t>
      </w:r>
    </w:p>
    <w:p w14:paraId="2EECDB2F">
      <w:pPr>
        <w:widowControl/>
        <w:spacing w:line="360" w:lineRule="auto"/>
        <w:jc w:val="left"/>
        <w:rPr>
          <w:rFonts w:ascii="仿宋_GB2312" w:eastAsia="仿宋_GB2312"/>
          <w:sz w:val="32"/>
          <w:szCs w:val="32"/>
        </w:rPr>
      </w:pPr>
      <w:r>
        <w:rPr>
          <w:rFonts w:ascii="仿宋_GB2312" w:eastAsia="仿宋_GB2312"/>
          <w:sz w:val="32"/>
          <w:szCs w:val="32"/>
        </w:rPr>
        <w:t>十一、预算绩效的情况说明</w:t>
      </w:r>
    </w:p>
    <w:p w14:paraId="4E671A2A">
      <w:pPr>
        <w:widowControl/>
        <w:spacing w:line="360" w:lineRule="auto"/>
        <w:jc w:val="left"/>
        <w:rPr>
          <w:rFonts w:ascii="仿宋_GB2312" w:eastAsia="仿宋_GB2312"/>
          <w:sz w:val="32"/>
          <w:szCs w:val="32"/>
        </w:rPr>
      </w:pPr>
      <w:r>
        <w:rPr>
          <w:rFonts w:ascii="仿宋_GB2312" w:eastAsia="仿宋_GB2312"/>
          <w:sz w:val="32"/>
          <w:szCs w:val="32"/>
        </w:rPr>
        <w:t>十二、其他需说明的事项</w:t>
      </w:r>
    </w:p>
    <w:p w14:paraId="45A4F7FD">
      <w:pPr>
        <w:widowControl/>
        <w:spacing w:line="360" w:lineRule="auto"/>
        <w:jc w:val="left"/>
        <w:rPr>
          <w:rFonts w:ascii="仿宋_GB2312" w:eastAsia="仿宋_GB2312"/>
          <w:sz w:val="32"/>
          <w:szCs w:val="32"/>
        </w:rPr>
      </w:pPr>
      <w:r>
        <w:rPr>
          <w:rFonts w:ascii="仿宋_GB2312" w:eastAsia="仿宋_GB2312"/>
          <w:b/>
          <w:sz w:val="32"/>
          <w:szCs w:val="32"/>
        </w:rPr>
        <w:t>第三部分 专业名词解释</w:t>
      </w:r>
    </w:p>
    <w:p w14:paraId="528A68C9">
      <w:pPr>
        <w:widowControl/>
        <w:spacing w:line="360" w:lineRule="auto"/>
        <w:jc w:val="left"/>
        <w:rPr>
          <w:rFonts w:ascii="仿宋_GB2312" w:eastAsia="仿宋_GB2312"/>
          <w:sz w:val="32"/>
          <w:szCs w:val="32"/>
        </w:rPr>
      </w:pPr>
      <w:r>
        <w:rPr>
          <w:rFonts w:ascii="仿宋_GB2312" w:eastAsia="仿宋_GB2312"/>
          <w:b/>
          <w:sz w:val="32"/>
          <w:szCs w:val="32"/>
        </w:rPr>
        <w:t>第四部分 部门决算报表（见附表）</w:t>
      </w:r>
    </w:p>
    <w:p w14:paraId="52446562">
      <w:pPr>
        <w:widowControl/>
        <w:spacing w:line="360" w:lineRule="auto"/>
        <w:jc w:val="left"/>
        <w:rPr>
          <w:rFonts w:ascii="仿宋_GB2312" w:eastAsia="仿宋_GB2312"/>
          <w:sz w:val="32"/>
          <w:szCs w:val="32"/>
        </w:rPr>
      </w:pPr>
      <w:r>
        <w:rPr>
          <w:rFonts w:ascii="仿宋_GB2312" w:eastAsia="仿宋_GB2312"/>
          <w:sz w:val="32"/>
          <w:szCs w:val="32"/>
        </w:rPr>
        <w:t>一、《收入支出决算总表》</w:t>
      </w:r>
    </w:p>
    <w:p w14:paraId="555A5DC0">
      <w:pPr>
        <w:widowControl/>
        <w:spacing w:line="360" w:lineRule="auto"/>
        <w:jc w:val="left"/>
        <w:rPr>
          <w:rFonts w:ascii="仿宋_GB2312" w:eastAsia="仿宋_GB2312"/>
          <w:sz w:val="32"/>
          <w:szCs w:val="32"/>
        </w:rPr>
      </w:pPr>
      <w:r>
        <w:rPr>
          <w:rFonts w:ascii="仿宋_GB2312" w:eastAsia="仿宋_GB2312"/>
          <w:sz w:val="32"/>
          <w:szCs w:val="32"/>
        </w:rPr>
        <w:t>二、《收入决算表》</w:t>
      </w:r>
    </w:p>
    <w:p w14:paraId="11C651F4">
      <w:pPr>
        <w:widowControl/>
        <w:spacing w:line="360" w:lineRule="auto"/>
        <w:jc w:val="left"/>
        <w:rPr>
          <w:rFonts w:ascii="仿宋_GB2312" w:eastAsia="仿宋_GB2312"/>
          <w:sz w:val="32"/>
          <w:szCs w:val="32"/>
        </w:rPr>
      </w:pPr>
      <w:r>
        <w:rPr>
          <w:rFonts w:ascii="仿宋_GB2312" w:eastAsia="仿宋_GB2312"/>
          <w:sz w:val="32"/>
          <w:szCs w:val="32"/>
        </w:rPr>
        <w:t>三、《支出决算表》</w:t>
      </w:r>
    </w:p>
    <w:p w14:paraId="1D7A843F">
      <w:pPr>
        <w:widowControl/>
        <w:spacing w:line="360" w:lineRule="auto"/>
        <w:jc w:val="left"/>
        <w:rPr>
          <w:rFonts w:ascii="仿宋_GB2312" w:eastAsia="仿宋_GB2312"/>
          <w:sz w:val="32"/>
          <w:szCs w:val="32"/>
        </w:rPr>
      </w:pPr>
      <w:r>
        <w:rPr>
          <w:rFonts w:ascii="仿宋_GB2312" w:eastAsia="仿宋_GB2312"/>
          <w:sz w:val="32"/>
          <w:szCs w:val="32"/>
        </w:rPr>
        <w:t>四、《财政拨款收入支出决算总表》</w:t>
      </w:r>
    </w:p>
    <w:p w14:paraId="0E34CDB1">
      <w:pPr>
        <w:widowControl/>
        <w:spacing w:line="360" w:lineRule="auto"/>
        <w:jc w:val="left"/>
        <w:rPr>
          <w:rFonts w:ascii="仿宋_GB2312" w:eastAsia="仿宋_GB2312"/>
          <w:sz w:val="32"/>
          <w:szCs w:val="32"/>
        </w:rPr>
      </w:pPr>
      <w:r>
        <w:rPr>
          <w:rFonts w:ascii="仿宋_GB2312" w:eastAsia="仿宋_GB2312"/>
          <w:sz w:val="32"/>
          <w:szCs w:val="32"/>
        </w:rPr>
        <w:t>五、《一般公共预算财政拨款支出决算表》</w:t>
      </w:r>
    </w:p>
    <w:p w14:paraId="5657D25A">
      <w:pPr>
        <w:widowControl/>
        <w:spacing w:line="360" w:lineRule="auto"/>
        <w:jc w:val="left"/>
        <w:rPr>
          <w:rFonts w:ascii="仿宋_GB2312" w:eastAsia="仿宋_GB2312"/>
          <w:sz w:val="32"/>
          <w:szCs w:val="32"/>
        </w:rPr>
      </w:pPr>
      <w:r>
        <w:rPr>
          <w:rFonts w:ascii="仿宋_GB2312" w:eastAsia="仿宋_GB2312"/>
          <w:sz w:val="32"/>
          <w:szCs w:val="32"/>
        </w:rPr>
        <w:t>六、《一般公共预算财政拨款基本支出决算表》</w:t>
      </w:r>
    </w:p>
    <w:p w14:paraId="401BA88C">
      <w:pPr>
        <w:widowControl/>
        <w:spacing w:line="360" w:lineRule="auto"/>
        <w:jc w:val="left"/>
        <w:rPr>
          <w:rFonts w:ascii="仿宋_GB2312" w:eastAsia="仿宋_GB2312"/>
          <w:sz w:val="32"/>
          <w:szCs w:val="32"/>
        </w:rPr>
      </w:pPr>
      <w:r>
        <w:rPr>
          <w:rFonts w:ascii="仿宋_GB2312" w:eastAsia="仿宋_GB2312"/>
          <w:sz w:val="32"/>
          <w:szCs w:val="32"/>
        </w:rPr>
        <w:t>七、《政府性基金预算财政拨款收入支出决算表》</w:t>
      </w:r>
    </w:p>
    <w:p w14:paraId="0A04A131">
      <w:pPr>
        <w:widowControl/>
        <w:spacing w:line="360" w:lineRule="auto"/>
        <w:jc w:val="left"/>
        <w:rPr>
          <w:rFonts w:ascii="仿宋_GB2312" w:eastAsia="仿宋_GB2312"/>
          <w:sz w:val="32"/>
          <w:szCs w:val="32"/>
        </w:rPr>
      </w:pPr>
      <w:r>
        <w:rPr>
          <w:rFonts w:ascii="仿宋_GB2312" w:eastAsia="仿宋_GB2312"/>
          <w:sz w:val="32"/>
          <w:szCs w:val="32"/>
        </w:rPr>
        <w:t>八、《国有资本经营预算财政拨款收入支出决算表》</w:t>
      </w:r>
    </w:p>
    <w:p w14:paraId="539C9917">
      <w:pPr>
        <w:widowControl/>
        <w:spacing w:line="360" w:lineRule="auto"/>
        <w:jc w:val="left"/>
        <w:rPr>
          <w:rFonts w:ascii="仿宋_GB2312" w:eastAsia="仿宋_GB2312"/>
          <w:sz w:val="32"/>
          <w:szCs w:val="32"/>
        </w:rPr>
      </w:pPr>
      <w:r>
        <w:rPr>
          <w:rFonts w:ascii="仿宋_GB2312" w:eastAsia="仿宋_GB2312"/>
          <w:sz w:val="32"/>
          <w:szCs w:val="32"/>
        </w:rPr>
        <w:t>九、《财政拨款“三公”经费支出决算表》</w:t>
      </w:r>
    </w:p>
    <w:p w14:paraId="127A161F">
      <w:pPr>
        <w:widowControl/>
        <w:spacing w:line="360" w:lineRule="auto"/>
      </w:pPr>
      <w:r>
        <w:rPr>
          <w:sz w:val="0"/>
          <w:szCs w:val="0"/>
        </w:rPr>
        <w:br w:type="page"/>
      </w:r>
    </w:p>
    <w:p w14:paraId="1E8045AF">
      <w:pPr>
        <w:widowControl/>
        <w:spacing w:line="360" w:lineRule="auto"/>
        <w:jc w:val="center"/>
        <w:outlineLvl w:val="0"/>
        <w:rPr>
          <w:rFonts w:ascii="黑体" w:eastAsia="黑体"/>
          <w:sz w:val="32"/>
          <w:szCs w:val="32"/>
        </w:rPr>
      </w:pPr>
      <w:r>
        <w:rPr>
          <w:rFonts w:ascii="黑体" w:eastAsia="黑体"/>
          <w:sz w:val="32"/>
          <w:szCs w:val="32"/>
        </w:rPr>
        <w:t>第一部分单位概况</w:t>
      </w:r>
    </w:p>
    <w:p w14:paraId="02543185">
      <w:pPr>
        <w:widowControl/>
        <w:numPr>
          <w:ilvl w:val="0"/>
          <w:numId w:val="1"/>
        </w:numPr>
        <w:spacing w:line="360" w:lineRule="auto"/>
        <w:ind w:firstLine="640" w:firstLineChars="200"/>
        <w:jc w:val="left"/>
        <w:outlineLvl w:val="1"/>
        <w:rPr>
          <w:rFonts w:ascii="黑体" w:eastAsia="黑体"/>
          <w:sz w:val="32"/>
          <w:szCs w:val="32"/>
        </w:rPr>
      </w:pPr>
      <w:r>
        <w:rPr>
          <w:rFonts w:ascii="黑体" w:eastAsia="黑体"/>
          <w:sz w:val="32"/>
          <w:szCs w:val="32"/>
        </w:rPr>
        <w:t>主要职能</w:t>
      </w:r>
    </w:p>
    <w:p w14:paraId="70789938">
      <w:pPr>
        <w:widowControl/>
        <w:spacing w:line="360" w:lineRule="auto"/>
        <w:ind w:firstLine="640" w:firstLineChars="200"/>
        <w:jc w:val="left"/>
        <w:outlineLvl w:val="1"/>
        <w:rPr>
          <w:rFonts w:ascii="仿宋_GB2312" w:eastAsia="仿宋_GB2312"/>
          <w:sz w:val="32"/>
          <w:szCs w:val="32"/>
        </w:rPr>
      </w:pPr>
      <w:r>
        <w:rPr>
          <w:rFonts w:hint="eastAsia" w:ascii="仿宋_GB2312" w:eastAsia="仿宋_GB2312"/>
          <w:sz w:val="32"/>
          <w:szCs w:val="32"/>
        </w:rPr>
        <w:t>按照“三定方案”主要承担任务，一是指导全区自然资源信息化建设工作，承担厅机关办公自动化网络系统和自然资源网站维护及技术服务。二是拟定全区土地、地质资料、地质科技档案管理制度并组织实施；保管厅机关综合档案资料；承担全区汇交土地、地质资料的汇交、接收、验收、整理、保管、借阅管理；承担土地、地质资料的密级、保管期限管理；三是承担自然资源数据库等应用研究工作；四是承担自治区“地政、矿政”等业务报件的接收、发证及厅交办的其他事项。五是承担矿产资源勘查开发业务咨询服务和地质资料二次开发利用工作。</w:t>
      </w:r>
    </w:p>
    <w:p w14:paraId="60137E09">
      <w:pPr>
        <w:widowControl/>
        <w:spacing w:line="360" w:lineRule="auto"/>
        <w:ind w:firstLine="640" w:firstLineChars="200"/>
        <w:jc w:val="left"/>
        <w:outlineLvl w:val="1"/>
        <w:rPr>
          <w:rFonts w:ascii="黑体" w:eastAsia="黑体"/>
          <w:sz w:val="32"/>
          <w:szCs w:val="32"/>
        </w:rPr>
      </w:pPr>
      <w:r>
        <w:rPr>
          <w:rFonts w:ascii="黑体" w:eastAsia="黑体"/>
          <w:sz w:val="32"/>
          <w:szCs w:val="32"/>
        </w:rPr>
        <w:t>二、机构设置</w:t>
      </w:r>
    </w:p>
    <w:p w14:paraId="24333654">
      <w:pPr>
        <w:widowControl/>
        <w:spacing w:line="360" w:lineRule="auto"/>
        <w:ind w:firstLine="640" w:firstLineChars="200"/>
        <w:jc w:val="left"/>
        <w:outlineLvl w:val="1"/>
        <w:rPr>
          <w:rFonts w:ascii="Times New Roman" w:hAnsi="Times New Roman" w:eastAsia="仿宋_GB2312" w:cs="Times New Roman"/>
          <w:sz w:val="32"/>
          <w:szCs w:val="32"/>
        </w:rPr>
      </w:pPr>
      <w:r>
        <w:rPr>
          <w:rFonts w:hint="eastAsia" w:ascii="仿宋_GB2312" w:eastAsia="仿宋_GB2312"/>
          <w:sz w:val="32"/>
          <w:szCs w:val="32"/>
        </w:rPr>
        <w:t>新疆维吾尔自治区自然资源信息中心（新疆维吾尔自治区自然资源档案馆）无下属预算单位。</w:t>
      </w:r>
    </w:p>
    <w:p w14:paraId="39199C7C">
      <w:pPr>
        <w:widowControl/>
        <w:spacing w:line="360" w:lineRule="auto"/>
      </w:pPr>
      <w:r>
        <w:rPr>
          <w:sz w:val="0"/>
          <w:szCs w:val="0"/>
        </w:rPr>
        <w:br w:type="page"/>
      </w:r>
    </w:p>
    <w:p w14:paraId="044D8D2E">
      <w:pPr>
        <w:widowControl/>
        <w:spacing w:line="360" w:lineRule="auto"/>
        <w:jc w:val="center"/>
        <w:outlineLvl w:val="0"/>
        <w:rPr>
          <w:rFonts w:ascii="黑体" w:eastAsia="黑体"/>
          <w:sz w:val="32"/>
          <w:szCs w:val="32"/>
        </w:rPr>
      </w:pPr>
      <w:r>
        <w:rPr>
          <w:rFonts w:ascii="黑体" w:eastAsia="黑体"/>
          <w:sz w:val="32"/>
          <w:szCs w:val="32"/>
        </w:rPr>
        <w:t>第二部分 部门决算情况说明</w:t>
      </w:r>
    </w:p>
    <w:p w14:paraId="069CEF45">
      <w:pPr>
        <w:widowControl/>
        <w:spacing w:line="360" w:lineRule="auto"/>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4D3BDD54">
      <w:pPr>
        <w:widowControl/>
        <w:spacing w:line="360" w:lineRule="auto"/>
        <w:ind w:firstLine="643" w:firstLineChars="200"/>
        <w:rPr>
          <w:rFonts w:ascii="仿宋_GB2312" w:eastAsia="仿宋_GB2312"/>
          <w:sz w:val="32"/>
          <w:szCs w:val="32"/>
        </w:rPr>
      </w:pPr>
      <w:r>
        <w:rPr>
          <w:rFonts w:ascii="仿宋_GB2312" w:eastAsia="仿宋_GB2312"/>
          <w:b/>
          <w:bCs/>
          <w:sz w:val="32"/>
          <w:szCs w:val="32"/>
        </w:rPr>
        <w:t>2025年度收入总计4,564.80万元</w:t>
      </w:r>
      <w:r>
        <w:rPr>
          <w:rFonts w:ascii="仿宋_GB2312" w:eastAsia="仿宋_GB2312"/>
          <w:sz w:val="32"/>
          <w:szCs w:val="32"/>
        </w:rPr>
        <w:t>，其中：本年收入合计4,533.02万元，使用非财政拨款结余（含专用结余）31.78万元，年初结转和结余0.00万元。</w:t>
      </w:r>
    </w:p>
    <w:p w14:paraId="166E005B">
      <w:pPr>
        <w:widowControl/>
        <w:spacing w:line="360" w:lineRule="auto"/>
        <w:ind w:firstLine="643" w:firstLineChars="200"/>
        <w:rPr>
          <w:rFonts w:ascii="仿宋_GB2312" w:eastAsia="仿宋_GB2312"/>
          <w:sz w:val="32"/>
          <w:szCs w:val="32"/>
        </w:rPr>
      </w:pPr>
      <w:r>
        <w:rPr>
          <w:rFonts w:ascii="仿宋_GB2312" w:eastAsia="仿宋_GB2312"/>
          <w:b/>
          <w:bCs/>
          <w:sz w:val="32"/>
          <w:szCs w:val="32"/>
        </w:rPr>
        <w:t>2025年度支出总计4,564.80万元</w:t>
      </w:r>
      <w:r>
        <w:rPr>
          <w:rFonts w:ascii="仿宋_GB2312" w:eastAsia="仿宋_GB2312"/>
          <w:sz w:val="32"/>
          <w:szCs w:val="32"/>
        </w:rPr>
        <w:t>，其中：本年支出合计4,564.80万元，结余分配0.00万元，年末结转和结余0.00万元。</w:t>
      </w:r>
    </w:p>
    <w:p w14:paraId="11AE1B06">
      <w:pPr>
        <w:widowControl/>
        <w:spacing w:line="360" w:lineRule="auto"/>
        <w:ind w:firstLine="643" w:firstLineChars="200"/>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sz w:val="32"/>
          <w:szCs w:val="32"/>
        </w:rPr>
        <w:t>，增加880.37万元，增长23.89%，主要原因是：</w:t>
      </w:r>
      <w:r>
        <w:rPr>
          <w:rFonts w:hint="eastAsia" w:ascii="仿宋_GB2312" w:eastAsia="仿宋_GB2312"/>
          <w:sz w:val="32"/>
          <w:szCs w:val="32"/>
        </w:rPr>
        <w:t>2025年年底</w:t>
      </w:r>
      <w:r>
        <w:rPr>
          <w:rFonts w:hint="eastAsia" w:ascii="仿宋_GB2312" w:eastAsia="仿宋_GB2312"/>
          <w:sz w:val="32"/>
          <w:szCs w:val="32"/>
          <w:lang w:eastAsia="zh-CN"/>
        </w:rPr>
        <w:t>增加两个</w:t>
      </w:r>
      <w:r>
        <w:rPr>
          <w:rFonts w:hint="eastAsia" w:ascii="仿宋_GB2312" w:eastAsia="仿宋_GB2312"/>
          <w:sz w:val="32"/>
          <w:szCs w:val="32"/>
        </w:rPr>
        <w:t>财政项目</w:t>
      </w:r>
      <w:r>
        <w:rPr>
          <w:rFonts w:hint="eastAsia" w:ascii="仿宋_GB2312" w:eastAsia="仿宋_GB2312"/>
          <w:sz w:val="32"/>
          <w:szCs w:val="32"/>
          <w:lang w:eastAsia="zh-CN"/>
        </w:rPr>
        <w:t>，</w:t>
      </w:r>
      <w:r>
        <w:rPr>
          <w:rFonts w:hint="eastAsia" w:ascii="仿宋_GB2312" w:eastAsia="仿宋_GB2312"/>
          <w:sz w:val="32"/>
          <w:szCs w:val="32"/>
        </w:rPr>
        <w:t>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r>
        <w:rPr>
          <w:rFonts w:ascii="仿宋_GB2312" w:eastAsia="仿宋_GB2312"/>
          <w:sz w:val="32"/>
          <w:szCs w:val="32"/>
        </w:rPr>
        <w:t>。</w:t>
      </w:r>
    </w:p>
    <w:p w14:paraId="028C72A7">
      <w:pPr>
        <w:widowControl/>
        <w:spacing w:line="360" w:lineRule="auto"/>
        <w:ind w:firstLine="640" w:firstLineChars="200"/>
        <w:jc w:val="left"/>
        <w:outlineLvl w:val="1"/>
        <w:rPr>
          <w:rFonts w:ascii="黑体" w:eastAsia="黑体"/>
          <w:sz w:val="32"/>
          <w:szCs w:val="32"/>
        </w:rPr>
      </w:pPr>
      <w:r>
        <w:rPr>
          <w:rFonts w:ascii="黑体" w:eastAsia="黑体"/>
          <w:sz w:val="32"/>
          <w:szCs w:val="32"/>
        </w:rPr>
        <w:t>二、收入决算情况说明</w:t>
      </w:r>
    </w:p>
    <w:p w14:paraId="182895F1">
      <w:pPr>
        <w:widowControl/>
        <w:spacing w:line="360" w:lineRule="auto"/>
        <w:ind w:firstLine="643" w:firstLineChars="200"/>
        <w:rPr>
          <w:rFonts w:ascii="仿宋_GB2312" w:eastAsia="仿宋_GB2312"/>
          <w:sz w:val="32"/>
          <w:szCs w:val="32"/>
        </w:rPr>
      </w:pPr>
      <w:r>
        <w:rPr>
          <w:rFonts w:ascii="仿宋_GB2312" w:eastAsia="仿宋_GB2312"/>
          <w:b/>
          <w:bCs/>
          <w:sz w:val="32"/>
          <w:szCs w:val="32"/>
        </w:rPr>
        <w:t>本年收入4,533.02万元</w:t>
      </w:r>
      <w:r>
        <w:rPr>
          <w:rFonts w:ascii="仿宋_GB2312" w:eastAsia="仿宋_GB2312"/>
          <w:sz w:val="32"/>
          <w:szCs w:val="32"/>
        </w:rPr>
        <w:t>，其中：财政拨款收入4,309.38万元,占95.07%；上级补助收入0.00万元,占0.00%；事业收入0.00万元，占0.00%；经营收入223.42万元,占4.93%；附属单位上缴收入0.00万元，占0.00%；其他收入0.22万元，占0.00%。</w:t>
      </w:r>
    </w:p>
    <w:p w14:paraId="406C95CC">
      <w:pPr>
        <w:widowControl/>
        <w:spacing w:line="360" w:lineRule="auto"/>
        <w:ind w:firstLine="640" w:firstLineChars="200"/>
        <w:jc w:val="left"/>
        <w:outlineLvl w:val="1"/>
        <w:rPr>
          <w:rFonts w:ascii="黑体" w:eastAsia="黑体"/>
          <w:sz w:val="32"/>
          <w:szCs w:val="32"/>
        </w:rPr>
      </w:pPr>
      <w:r>
        <w:rPr>
          <w:rFonts w:ascii="黑体" w:eastAsia="黑体"/>
          <w:sz w:val="32"/>
          <w:szCs w:val="32"/>
        </w:rPr>
        <w:t>三、支出决算情况说明</w:t>
      </w:r>
    </w:p>
    <w:p w14:paraId="176FDFD9">
      <w:pPr>
        <w:widowControl/>
        <w:spacing w:line="360" w:lineRule="auto"/>
        <w:ind w:firstLine="643" w:firstLineChars="200"/>
        <w:rPr>
          <w:rFonts w:ascii="仿宋_GB2312" w:eastAsia="仿宋_GB2312"/>
          <w:sz w:val="32"/>
          <w:szCs w:val="32"/>
        </w:rPr>
      </w:pPr>
      <w:r>
        <w:rPr>
          <w:rFonts w:ascii="仿宋_GB2312" w:eastAsia="仿宋_GB2312"/>
          <w:b/>
          <w:bCs/>
          <w:sz w:val="32"/>
          <w:szCs w:val="32"/>
        </w:rPr>
        <w:t>本年支出4,564.80万元</w:t>
      </w:r>
      <w:r>
        <w:rPr>
          <w:rFonts w:ascii="仿宋_GB2312" w:eastAsia="仿宋_GB2312"/>
          <w:sz w:val="32"/>
          <w:szCs w:val="32"/>
        </w:rPr>
        <w:t>，其中：基本支出947.22万元，占20.75%；项目支出3,394.16万元，占74.36%；上缴上级支出0.00万元，占0.00%；经营支出223.42万元，占4.89%；对附属单位补助支出0.00万元，占0.00%。</w:t>
      </w:r>
    </w:p>
    <w:p w14:paraId="47F8901F">
      <w:pPr>
        <w:widowControl/>
        <w:spacing w:line="360" w:lineRule="auto"/>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4AE2540B">
      <w:pPr>
        <w:widowControl/>
        <w:spacing w:line="360" w:lineRule="auto"/>
        <w:ind w:firstLine="643" w:firstLineChars="200"/>
        <w:rPr>
          <w:rFonts w:ascii="仿宋_GB2312" w:eastAsia="仿宋_GB2312"/>
          <w:sz w:val="32"/>
          <w:szCs w:val="32"/>
        </w:rPr>
      </w:pPr>
      <w:r>
        <w:rPr>
          <w:rFonts w:ascii="仿宋_GB2312" w:eastAsia="仿宋_GB2312"/>
          <w:b/>
          <w:bCs/>
          <w:sz w:val="32"/>
          <w:szCs w:val="32"/>
        </w:rPr>
        <w:t>2025年度财政拨款收入总计4,309.38万元</w:t>
      </w:r>
      <w:r>
        <w:rPr>
          <w:rFonts w:ascii="仿宋_GB2312" w:eastAsia="仿宋_GB2312"/>
          <w:sz w:val="32"/>
          <w:szCs w:val="32"/>
        </w:rPr>
        <w:t>，其中：年初财政拨款结转和结余0.00万元，本年财政拨款收入4,309.38万元。</w:t>
      </w:r>
      <w:r>
        <w:rPr>
          <w:rFonts w:ascii="仿宋_GB2312" w:eastAsia="仿宋_GB2312"/>
          <w:b/>
          <w:bCs/>
          <w:sz w:val="32"/>
          <w:szCs w:val="32"/>
        </w:rPr>
        <w:t>财政拨款支出总计</w:t>
      </w:r>
      <w:r>
        <w:rPr>
          <w:rFonts w:ascii="仿宋_GB2312" w:eastAsia="仿宋_GB2312"/>
          <w:sz w:val="32"/>
          <w:szCs w:val="32"/>
        </w:rPr>
        <w:t>4,309.38万元，其中：年末财政拨款结转和结余0.00万元，本年财政拨款支出4,309.38万元。</w:t>
      </w:r>
    </w:p>
    <w:p w14:paraId="0D3792E0">
      <w:pPr>
        <w:widowControl/>
        <w:spacing w:line="360" w:lineRule="auto"/>
        <w:ind w:firstLine="643" w:firstLineChars="200"/>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sz w:val="32"/>
          <w:szCs w:val="32"/>
        </w:rPr>
        <w:t>，增加1,347.99万元，增长45.52%，主要原因是：</w:t>
      </w:r>
      <w:r>
        <w:rPr>
          <w:rFonts w:hint="eastAsia" w:ascii="仿宋_GB2312" w:eastAsia="仿宋_GB2312"/>
          <w:sz w:val="32"/>
          <w:szCs w:val="32"/>
        </w:rPr>
        <w:t>2025年年底</w:t>
      </w:r>
      <w:r>
        <w:rPr>
          <w:rFonts w:hint="eastAsia" w:ascii="仿宋_GB2312" w:eastAsia="仿宋_GB2312"/>
          <w:sz w:val="32"/>
          <w:szCs w:val="32"/>
          <w:lang w:eastAsia="zh-CN"/>
        </w:rPr>
        <w:t>增加两个</w:t>
      </w:r>
      <w:r>
        <w:rPr>
          <w:rFonts w:hint="eastAsia" w:ascii="仿宋_GB2312" w:eastAsia="仿宋_GB2312"/>
          <w:sz w:val="32"/>
          <w:szCs w:val="32"/>
        </w:rPr>
        <w:t>财政项目，分别为自治区农用地数字化动态监管平台建设项目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r>
        <w:rPr>
          <w:rFonts w:ascii="仿宋_GB2312" w:eastAsia="仿宋_GB2312"/>
          <w:sz w:val="32"/>
          <w:szCs w:val="32"/>
        </w:rPr>
        <w:t>。</w:t>
      </w:r>
      <w:r>
        <w:rPr>
          <w:rFonts w:ascii="仿宋_GB2312" w:eastAsia="仿宋_GB2312"/>
          <w:b/>
          <w:bCs/>
          <w:sz w:val="32"/>
          <w:szCs w:val="32"/>
        </w:rPr>
        <w:t>与年初预算相比</w:t>
      </w:r>
      <w:r>
        <w:rPr>
          <w:rFonts w:ascii="仿宋_GB2312" w:eastAsia="仿宋_GB2312"/>
          <w:sz w:val="32"/>
          <w:szCs w:val="32"/>
        </w:rPr>
        <w:t>，年初预算数2,953.09万元，决算数4,309.38万元，预决算差异率45.93%，主要原因是：</w:t>
      </w:r>
      <w:r>
        <w:rPr>
          <w:rFonts w:hint="eastAsia" w:ascii="仿宋_GB2312" w:eastAsia="仿宋_GB2312"/>
          <w:sz w:val="32"/>
          <w:szCs w:val="32"/>
        </w:rPr>
        <w:t>2025年年底追加</w:t>
      </w:r>
      <w:r>
        <w:rPr>
          <w:rFonts w:hint="eastAsia" w:ascii="仿宋_GB2312" w:eastAsia="仿宋_GB2312"/>
          <w:sz w:val="32"/>
          <w:szCs w:val="32"/>
          <w:lang w:eastAsia="zh-CN"/>
        </w:rPr>
        <w:t>两个</w:t>
      </w:r>
      <w:r>
        <w:rPr>
          <w:rFonts w:hint="eastAsia" w:ascii="仿宋_GB2312" w:eastAsia="仿宋_GB2312"/>
          <w:sz w:val="32"/>
          <w:szCs w:val="32"/>
        </w:rPr>
        <w:t>财政项目，分别为自治区农用地数字化动态监管平台建设项目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r>
        <w:rPr>
          <w:rFonts w:ascii="仿宋_GB2312" w:eastAsia="仿宋_GB2312"/>
          <w:sz w:val="32"/>
          <w:szCs w:val="32"/>
        </w:rPr>
        <w:t>。</w:t>
      </w:r>
    </w:p>
    <w:p w14:paraId="76DAAE4B">
      <w:pPr>
        <w:widowControl/>
        <w:spacing w:line="360" w:lineRule="auto"/>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75A147DC">
      <w:pPr>
        <w:widowControl/>
        <w:spacing w:line="360" w:lineRule="auto"/>
        <w:ind w:firstLine="640" w:firstLineChars="20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rPr>
        <w:t>一般性支出、其他类支出、三公经费</w:t>
      </w:r>
      <w:r>
        <w:rPr>
          <w:rFonts w:ascii="仿宋_GB2312" w:eastAsia="仿宋_GB2312"/>
          <w:sz w:val="32"/>
          <w:szCs w:val="32"/>
        </w:rPr>
        <w:t>等重点支出，体现在有关支出科目中。</w:t>
      </w:r>
      <w:r>
        <w:rPr>
          <w:rFonts w:hint="eastAsia" w:ascii="仿宋_GB2312" w:eastAsia="仿宋_GB2312"/>
          <w:sz w:val="32"/>
          <w:szCs w:val="32"/>
        </w:rPr>
        <w:t xml:space="preserve">          </w:t>
      </w:r>
    </w:p>
    <w:p w14:paraId="0BE499EC">
      <w:pPr>
        <w:widowControl/>
        <w:spacing w:line="360" w:lineRule="auto"/>
        <w:ind w:firstLine="640" w:firstLineChars="200"/>
        <w:jc w:val="left"/>
        <w:rPr>
          <w:rFonts w:ascii="仿宋_GB2312" w:eastAsia="仿宋_GB2312"/>
          <w:color w:val="FF0000"/>
          <w:sz w:val="32"/>
          <w:szCs w:val="32"/>
        </w:rPr>
      </w:pPr>
      <w:r>
        <w:rPr>
          <w:rFonts w:hint="eastAsia" w:ascii="仿宋_GB2312" w:eastAsia="仿宋_GB2312"/>
          <w:sz w:val="32"/>
          <w:szCs w:val="32"/>
        </w:rPr>
        <w:t>按照支出功能分类，自然资源海洋气象等支出(类)自然资源事务(款)自然资源社会公益服务(项)的支出占本年财政拨款支出总额的比重最高，2025年度决算数为3,345.24万元，占比77.63%，主要用于财政3个项目实施相关经费支出</w:t>
      </w:r>
      <w:r>
        <w:rPr>
          <w:rFonts w:hint="eastAsia" w:ascii="仿宋_GB2312" w:eastAsia="仿宋_GB2312"/>
          <w:sz w:val="32"/>
          <w:szCs w:val="32"/>
          <w:lang w:eastAsia="zh-CN"/>
        </w:rPr>
        <w:t>，包括新疆自然资源资料档案公共服务与数据集成项目、自治区农用地数字化动态监管平台建设项目、2025年信息化项目</w:t>
      </w:r>
      <w:r>
        <w:rPr>
          <w:rFonts w:hint="eastAsia" w:ascii="仿宋_GB2312" w:eastAsia="仿宋_GB2312"/>
          <w:sz w:val="32"/>
          <w:szCs w:val="32"/>
        </w:rPr>
        <w:t>。</w:t>
      </w:r>
    </w:p>
    <w:p w14:paraId="7D1756BE">
      <w:pPr>
        <w:widowControl/>
        <w:spacing w:line="360" w:lineRule="auto"/>
        <w:ind w:firstLine="640" w:firstLineChars="200"/>
        <w:outlineLvl w:val="2"/>
        <w:rPr>
          <w:rFonts w:ascii="黑体" w:eastAsia="黑体"/>
          <w:sz w:val="32"/>
          <w:szCs w:val="32"/>
        </w:rPr>
      </w:pPr>
      <w:r>
        <w:rPr>
          <w:rFonts w:ascii="黑体" w:eastAsia="黑体"/>
          <w:sz w:val="32"/>
          <w:szCs w:val="32"/>
        </w:rPr>
        <w:t>（一）一般公共预算财政拨款支出决算总体情况</w:t>
      </w:r>
    </w:p>
    <w:p w14:paraId="2675203C">
      <w:pPr>
        <w:widowControl/>
        <w:spacing w:line="360" w:lineRule="auto"/>
        <w:ind w:firstLine="643" w:firstLineChars="200"/>
        <w:rPr>
          <w:rFonts w:ascii="仿宋_GB2312" w:eastAsia="仿宋_GB2312"/>
          <w:sz w:val="32"/>
          <w:szCs w:val="32"/>
        </w:rPr>
      </w:pPr>
      <w:r>
        <w:rPr>
          <w:rFonts w:ascii="仿宋_GB2312" w:eastAsia="仿宋_GB2312"/>
          <w:b/>
          <w:bCs/>
          <w:sz w:val="32"/>
          <w:szCs w:val="32"/>
        </w:rPr>
        <w:t>2025年度一般公共预算财政拨款支出4,309.38万元</w:t>
      </w:r>
      <w:r>
        <w:rPr>
          <w:rFonts w:ascii="仿宋_GB2312" w:eastAsia="仿宋_GB2312"/>
          <w:sz w:val="32"/>
          <w:szCs w:val="32"/>
        </w:rPr>
        <w:t>，占本年支出合计的94.40%。</w:t>
      </w:r>
      <w:r>
        <w:rPr>
          <w:rFonts w:ascii="仿宋_GB2312" w:eastAsia="仿宋_GB2312"/>
          <w:b/>
          <w:bCs/>
          <w:sz w:val="32"/>
          <w:szCs w:val="32"/>
        </w:rPr>
        <w:t>与上年相比</w:t>
      </w:r>
      <w:r>
        <w:rPr>
          <w:rFonts w:ascii="仿宋_GB2312" w:eastAsia="仿宋_GB2312"/>
          <w:sz w:val="32"/>
          <w:szCs w:val="32"/>
        </w:rPr>
        <w:t>，增加1,347.99万元，增长45.52%，主要原因是：</w:t>
      </w:r>
      <w:r>
        <w:rPr>
          <w:rFonts w:hint="eastAsia" w:ascii="仿宋_GB2312" w:eastAsia="仿宋_GB2312"/>
          <w:sz w:val="32"/>
          <w:szCs w:val="32"/>
        </w:rPr>
        <w:t>2025年年底</w:t>
      </w:r>
      <w:r>
        <w:rPr>
          <w:rFonts w:hint="eastAsia" w:ascii="仿宋_GB2312" w:eastAsia="仿宋_GB2312"/>
          <w:sz w:val="32"/>
          <w:szCs w:val="32"/>
          <w:lang w:eastAsia="zh-CN"/>
        </w:rPr>
        <w:t>增加两个</w:t>
      </w:r>
      <w:r>
        <w:rPr>
          <w:rFonts w:hint="eastAsia" w:ascii="仿宋_GB2312" w:eastAsia="仿宋_GB2312"/>
          <w:sz w:val="32"/>
          <w:szCs w:val="32"/>
        </w:rPr>
        <w:t>财政项目，分别为自治区农用地数字化动态监管平台建设项目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r>
        <w:rPr>
          <w:rFonts w:ascii="仿宋_GB2312" w:eastAsia="仿宋_GB2312"/>
          <w:b/>
          <w:bCs/>
          <w:sz w:val="32"/>
          <w:szCs w:val="32"/>
        </w:rPr>
        <w:t>与年初预算相比</w:t>
      </w:r>
      <w:r>
        <w:rPr>
          <w:rFonts w:ascii="仿宋_GB2312" w:eastAsia="仿宋_GB2312"/>
          <w:sz w:val="32"/>
          <w:szCs w:val="32"/>
        </w:rPr>
        <w:t>，年初预算数2,953.09万元，决算数4,309.38万元，预决算差异率45.93%，主要原因是：</w:t>
      </w:r>
      <w:r>
        <w:rPr>
          <w:rFonts w:hint="eastAsia" w:ascii="仿宋_GB2312" w:eastAsia="仿宋_GB2312"/>
          <w:sz w:val="32"/>
          <w:szCs w:val="32"/>
        </w:rPr>
        <w:t>2025年年底追加</w:t>
      </w:r>
      <w:r>
        <w:rPr>
          <w:rFonts w:hint="eastAsia" w:ascii="仿宋_GB2312" w:eastAsia="仿宋_GB2312"/>
          <w:sz w:val="32"/>
          <w:szCs w:val="32"/>
          <w:lang w:eastAsia="zh-CN"/>
        </w:rPr>
        <w:t>两个</w:t>
      </w:r>
      <w:r>
        <w:rPr>
          <w:rFonts w:hint="eastAsia" w:ascii="仿宋_GB2312" w:eastAsia="仿宋_GB2312"/>
          <w:sz w:val="32"/>
          <w:szCs w:val="32"/>
        </w:rPr>
        <w:t>财政项目，分别为自治区农用地数字化动态监管平台建设项目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p>
    <w:p w14:paraId="4B20CB74">
      <w:pPr>
        <w:widowControl/>
        <w:spacing w:line="360" w:lineRule="auto"/>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16811094">
      <w:pPr>
        <w:widowControl/>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社会保障和就业支出（类）170.88万元，占3.97%。</w:t>
      </w:r>
    </w:p>
    <w:p w14:paraId="1312562F">
      <w:pPr>
        <w:widowControl/>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卫生健康支出（类）83.30万元，占1.93%。</w:t>
      </w:r>
    </w:p>
    <w:p w14:paraId="1E5CEDE6">
      <w:pPr>
        <w:widowControl/>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自然资源海洋气象等支出（类）3,991.73万元，占92.63%。</w:t>
      </w:r>
    </w:p>
    <w:p w14:paraId="0E2EA67E">
      <w:pPr>
        <w:widowControl/>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住房保障支出（类）63.47万元，占1.47%。</w:t>
      </w:r>
    </w:p>
    <w:p w14:paraId="5B8873B8">
      <w:pPr>
        <w:widowControl/>
        <w:spacing w:line="360" w:lineRule="auto"/>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61CDC717">
      <w:pPr>
        <w:widowControl/>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社会保障和就业支出（类）行政事业单位养老支出（款）事业单位离退休（项）：支出决算数为48.69万元，比上年决算增加</w:t>
      </w:r>
      <w:r>
        <w:rPr>
          <w:rFonts w:hint="eastAsia" w:ascii="仿宋_GB2312" w:eastAsia="仿宋_GB2312"/>
          <w:sz w:val="32"/>
          <w:szCs w:val="32"/>
        </w:rPr>
        <w:t>11.13</w:t>
      </w:r>
      <w:r>
        <w:rPr>
          <w:rFonts w:ascii="仿宋_GB2312" w:eastAsia="仿宋_GB2312"/>
          <w:sz w:val="32"/>
          <w:szCs w:val="32"/>
        </w:rPr>
        <w:t>万元，增长</w:t>
      </w:r>
      <w:r>
        <w:rPr>
          <w:rFonts w:hint="eastAsia" w:ascii="仿宋_GB2312" w:eastAsia="仿宋_GB2312"/>
          <w:sz w:val="32"/>
          <w:szCs w:val="32"/>
        </w:rPr>
        <w:t>29.6</w:t>
      </w:r>
      <w:r>
        <w:rPr>
          <w:rFonts w:hint="eastAsia" w:ascii="仿宋_GB2312" w:eastAsia="仿宋_GB2312"/>
          <w:sz w:val="32"/>
          <w:szCs w:val="32"/>
          <w:lang w:val="en-US" w:eastAsia="zh-CN"/>
        </w:rPr>
        <w:t>3</w:t>
      </w:r>
      <w:r>
        <w:rPr>
          <w:rFonts w:ascii="仿宋_GB2312" w:eastAsia="仿宋_GB2312"/>
          <w:sz w:val="32"/>
          <w:szCs w:val="32"/>
        </w:rPr>
        <w:t>%，主要原因是：</w:t>
      </w:r>
      <w:r>
        <w:rPr>
          <w:rFonts w:hint="eastAsia" w:ascii="仿宋_GB2312" w:eastAsia="仿宋_GB2312"/>
          <w:sz w:val="32"/>
          <w:szCs w:val="32"/>
        </w:rPr>
        <w:t>2025年</w:t>
      </w:r>
      <w:r>
        <w:rPr>
          <w:rFonts w:hint="eastAsia" w:ascii="仿宋_GB2312" w:hAnsi="仿宋" w:eastAsia="仿宋_GB2312"/>
          <w:sz w:val="32"/>
          <w:szCs w:val="32"/>
        </w:rPr>
        <w:t>退休人员基础绩效奖基数较上年上调，因此</w:t>
      </w:r>
      <w:r>
        <w:rPr>
          <w:rFonts w:hint="eastAsia" w:ascii="仿宋_GB2312" w:hAnsi="仿宋" w:eastAsia="仿宋_GB2312"/>
          <w:sz w:val="32"/>
          <w:szCs w:val="32"/>
          <w:lang w:val="en-US" w:eastAsia="zh-CN"/>
        </w:rPr>
        <w:t>退休费</w:t>
      </w:r>
      <w:r>
        <w:rPr>
          <w:rFonts w:hint="eastAsia" w:ascii="仿宋_GB2312" w:hAnsi="仿宋" w:eastAsia="仿宋_GB2312"/>
          <w:sz w:val="32"/>
          <w:szCs w:val="32"/>
          <w:lang w:eastAsia="zh-CN"/>
        </w:rPr>
        <w:t>较</w:t>
      </w:r>
      <w:r>
        <w:rPr>
          <w:rFonts w:hint="eastAsia" w:ascii="仿宋_GB2312" w:hAnsi="仿宋" w:eastAsia="仿宋_GB2312"/>
          <w:sz w:val="32"/>
          <w:szCs w:val="32"/>
        </w:rPr>
        <w:t>上年决算数增加。</w:t>
      </w:r>
    </w:p>
    <w:p w14:paraId="6D5910EE">
      <w:pPr>
        <w:spacing w:line="360" w:lineRule="auto"/>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社会保障和就业支出（类）行政事业单位养老支出（款）机关事业单位基本养老保险缴费支出（项）：支出决算数为80.52万元，比上年决算增加</w:t>
      </w:r>
      <w:r>
        <w:rPr>
          <w:rFonts w:hint="eastAsia" w:ascii="仿宋_GB2312" w:eastAsia="仿宋_GB2312"/>
          <w:sz w:val="32"/>
          <w:szCs w:val="32"/>
        </w:rPr>
        <w:t>1.45</w:t>
      </w:r>
      <w:r>
        <w:rPr>
          <w:rFonts w:ascii="仿宋_GB2312" w:eastAsia="仿宋_GB2312"/>
          <w:sz w:val="32"/>
          <w:szCs w:val="32"/>
        </w:rPr>
        <w:t>万元，增长</w:t>
      </w: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8</w:t>
      </w:r>
      <w:r>
        <w:rPr>
          <w:rFonts w:hint="eastAsia" w:ascii="仿宋_GB2312" w:eastAsia="仿宋_GB2312"/>
          <w:sz w:val="32"/>
          <w:szCs w:val="32"/>
          <w:lang w:val="en-US" w:eastAsia="zh-CN"/>
        </w:rPr>
        <w:t>3</w:t>
      </w:r>
      <w:r>
        <w:rPr>
          <w:rFonts w:ascii="仿宋_GB2312" w:eastAsia="仿宋_GB2312"/>
          <w:sz w:val="32"/>
          <w:szCs w:val="32"/>
        </w:rPr>
        <w:t>%，主要原因是：</w:t>
      </w:r>
      <w:r>
        <w:rPr>
          <w:rFonts w:hint="eastAsia" w:ascii="仿宋_GB2312" w:hAnsi="仿宋" w:eastAsia="仿宋_GB2312"/>
          <w:sz w:val="32"/>
          <w:szCs w:val="32"/>
        </w:rPr>
        <w:t>2025年度机关事业单位基本养老保险缴费基数上调，因此养老保险</w:t>
      </w:r>
      <w:r>
        <w:rPr>
          <w:rFonts w:hint="eastAsia" w:ascii="仿宋_GB2312" w:hAnsi="仿宋" w:eastAsia="仿宋_GB2312"/>
          <w:sz w:val="32"/>
          <w:szCs w:val="32"/>
          <w:lang w:eastAsia="zh-CN"/>
        </w:rPr>
        <w:t>较</w:t>
      </w:r>
      <w:r>
        <w:rPr>
          <w:rFonts w:hint="eastAsia" w:ascii="仿宋_GB2312" w:hAnsi="仿宋" w:eastAsia="仿宋_GB2312"/>
          <w:sz w:val="32"/>
          <w:szCs w:val="32"/>
        </w:rPr>
        <w:t>上年决算数增加。</w:t>
      </w:r>
    </w:p>
    <w:p w14:paraId="62E706EF">
      <w:pPr>
        <w:widowControl/>
        <w:spacing w:line="360" w:lineRule="auto"/>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社会保障和就业支出（类）行政事业单位养老支出（款）机关事业单位职业年金缴费支出（项）：支出决算数为41.67万元，比上年决算增加</w:t>
      </w:r>
      <w:r>
        <w:rPr>
          <w:rFonts w:hint="eastAsia" w:ascii="仿宋_GB2312" w:eastAsia="仿宋_GB2312"/>
          <w:sz w:val="32"/>
          <w:szCs w:val="32"/>
        </w:rPr>
        <w:t>7.47</w:t>
      </w:r>
      <w:r>
        <w:rPr>
          <w:rFonts w:ascii="仿宋_GB2312" w:eastAsia="仿宋_GB2312"/>
          <w:sz w:val="32"/>
          <w:szCs w:val="32"/>
        </w:rPr>
        <w:t>万元，增长</w:t>
      </w:r>
      <w:r>
        <w:rPr>
          <w:rFonts w:hint="eastAsia" w:ascii="仿宋_GB2312" w:eastAsia="仿宋_GB2312"/>
          <w:sz w:val="32"/>
          <w:szCs w:val="32"/>
        </w:rPr>
        <w:t>21.8</w:t>
      </w:r>
      <w:r>
        <w:rPr>
          <w:rFonts w:hint="eastAsia" w:ascii="仿宋_GB2312" w:eastAsia="仿宋_GB2312"/>
          <w:sz w:val="32"/>
          <w:szCs w:val="32"/>
          <w:lang w:val="en-US" w:eastAsia="zh-CN"/>
        </w:rPr>
        <w:t>4</w:t>
      </w:r>
      <w:r>
        <w:rPr>
          <w:rFonts w:hint="eastAsia" w:ascii="仿宋_GB2312" w:eastAsia="仿宋_GB2312"/>
          <w:sz w:val="32"/>
          <w:szCs w:val="32"/>
        </w:rPr>
        <w:t>%</w:t>
      </w:r>
      <w:r>
        <w:rPr>
          <w:rFonts w:ascii="仿宋_GB2312" w:eastAsia="仿宋_GB2312"/>
          <w:sz w:val="32"/>
          <w:szCs w:val="32"/>
        </w:rPr>
        <w:t>，主要原因是：</w:t>
      </w:r>
      <w:r>
        <w:rPr>
          <w:rFonts w:hint="eastAsia" w:ascii="仿宋_GB2312" w:hAnsi="仿宋" w:eastAsia="仿宋_GB2312"/>
          <w:sz w:val="32"/>
          <w:szCs w:val="32"/>
        </w:rPr>
        <w:t>2024年度4人累计445个月职业年金缴费</w:t>
      </w:r>
      <w:r>
        <w:rPr>
          <w:rFonts w:hint="eastAsia" w:ascii="仿宋_GB2312" w:hAnsi="仿宋" w:eastAsia="仿宋_GB2312"/>
          <w:sz w:val="32"/>
          <w:szCs w:val="32"/>
          <w:lang w:eastAsia="zh-CN"/>
        </w:rPr>
        <w:t>记</w:t>
      </w:r>
      <w:r>
        <w:rPr>
          <w:rFonts w:hint="eastAsia" w:ascii="仿宋_GB2312" w:hAnsi="仿宋" w:eastAsia="仿宋_GB2312"/>
          <w:sz w:val="32"/>
          <w:szCs w:val="32"/>
        </w:rPr>
        <w:t>实，2025年</w:t>
      </w:r>
      <w:r>
        <w:rPr>
          <w:rFonts w:hint="eastAsia" w:ascii="仿宋_GB2312" w:eastAsia="仿宋_GB2312"/>
          <w:sz w:val="32"/>
          <w:szCs w:val="32"/>
        </w:rPr>
        <w:t>按照政策要求年中记实2025年在职人员41人12个月职业年金单位部分缴费</w:t>
      </w:r>
      <w:r>
        <w:rPr>
          <w:rFonts w:hint="eastAsia" w:ascii="仿宋_GB2312" w:eastAsia="仿宋_GB2312"/>
          <w:sz w:val="32"/>
          <w:szCs w:val="32"/>
          <w:lang w:eastAsia="zh-CN"/>
        </w:rPr>
        <w:t>，</w:t>
      </w:r>
      <w:r>
        <w:rPr>
          <w:rFonts w:hint="eastAsia" w:ascii="仿宋_GB2312" w:hAnsi="仿宋" w:eastAsia="仿宋_GB2312"/>
          <w:sz w:val="32"/>
          <w:szCs w:val="32"/>
        </w:rPr>
        <w:t>因此</w:t>
      </w:r>
      <w:r>
        <w:rPr>
          <w:rFonts w:hint="eastAsia" w:ascii="仿宋_GB2312" w:hAnsi="仿宋" w:eastAsia="仿宋_GB2312"/>
          <w:sz w:val="32"/>
          <w:szCs w:val="32"/>
          <w:lang w:val="en-US" w:eastAsia="zh-CN"/>
        </w:rPr>
        <w:t>职业年金</w:t>
      </w:r>
      <w:r>
        <w:rPr>
          <w:rFonts w:hint="eastAsia" w:ascii="仿宋_GB2312" w:hAnsi="仿宋" w:eastAsia="仿宋_GB2312"/>
          <w:sz w:val="32"/>
          <w:szCs w:val="32"/>
          <w:lang w:eastAsia="zh-CN"/>
        </w:rPr>
        <w:t>较</w:t>
      </w:r>
      <w:r>
        <w:rPr>
          <w:rFonts w:hint="eastAsia" w:ascii="仿宋_GB2312" w:hAnsi="仿宋" w:eastAsia="仿宋_GB2312"/>
          <w:sz w:val="32"/>
          <w:szCs w:val="32"/>
        </w:rPr>
        <w:t>上年决算数增加</w:t>
      </w:r>
      <w:r>
        <w:rPr>
          <w:rFonts w:hint="eastAsia" w:ascii="仿宋_GB2312" w:eastAsia="仿宋_GB2312"/>
          <w:sz w:val="32"/>
          <w:szCs w:val="32"/>
        </w:rPr>
        <w:t>。</w:t>
      </w:r>
    </w:p>
    <w:p w14:paraId="6B4F9006">
      <w:pPr>
        <w:spacing w:line="360" w:lineRule="auto"/>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卫生健康支出（类）行政事业单位医疗（款）事业单位医疗（项）：支出决算数为48.08万元，比上年决算增加</w:t>
      </w:r>
      <w:r>
        <w:rPr>
          <w:rFonts w:hint="eastAsia" w:ascii="仿宋_GB2312" w:eastAsia="仿宋_GB2312"/>
          <w:sz w:val="32"/>
          <w:szCs w:val="32"/>
        </w:rPr>
        <w:t>6.77</w:t>
      </w:r>
      <w:r>
        <w:rPr>
          <w:rFonts w:ascii="仿宋_GB2312" w:eastAsia="仿宋_GB2312"/>
          <w:sz w:val="32"/>
          <w:szCs w:val="32"/>
        </w:rPr>
        <w:t>万元，增长</w:t>
      </w:r>
      <w:r>
        <w:rPr>
          <w:rFonts w:hint="eastAsia" w:ascii="仿宋_GB2312" w:eastAsia="仿宋_GB2312"/>
          <w:sz w:val="32"/>
          <w:szCs w:val="32"/>
        </w:rPr>
        <w:t>16.39</w:t>
      </w:r>
      <w:r>
        <w:rPr>
          <w:rFonts w:ascii="仿宋_GB2312" w:eastAsia="仿宋_GB2312"/>
          <w:sz w:val="32"/>
          <w:szCs w:val="32"/>
        </w:rPr>
        <w:t>%，主要原因是：</w:t>
      </w:r>
      <w:r>
        <w:rPr>
          <w:rFonts w:hint="eastAsia" w:ascii="仿宋_GB2312" w:hAnsi="仿宋" w:eastAsia="仿宋_GB2312"/>
          <w:sz w:val="32"/>
          <w:szCs w:val="32"/>
        </w:rPr>
        <w:t>2025年度事业单位基本医疗缴费基数上调，因此基本医疗</w:t>
      </w:r>
      <w:r>
        <w:rPr>
          <w:rFonts w:hint="eastAsia" w:ascii="仿宋_GB2312" w:hAnsi="仿宋" w:eastAsia="仿宋_GB2312"/>
          <w:sz w:val="32"/>
          <w:szCs w:val="32"/>
          <w:lang w:eastAsia="zh-CN"/>
        </w:rPr>
        <w:t>较</w:t>
      </w:r>
      <w:r>
        <w:rPr>
          <w:rFonts w:hint="eastAsia" w:ascii="仿宋_GB2312" w:hAnsi="仿宋" w:eastAsia="仿宋_GB2312"/>
          <w:sz w:val="32"/>
          <w:szCs w:val="32"/>
        </w:rPr>
        <w:t>上年决算</w:t>
      </w:r>
      <w:r>
        <w:rPr>
          <w:rFonts w:hint="eastAsia" w:ascii="仿宋_GB2312" w:hAnsi="仿宋" w:eastAsia="仿宋_GB2312"/>
          <w:sz w:val="32"/>
          <w:szCs w:val="32"/>
          <w:lang w:eastAsia="zh-CN"/>
        </w:rPr>
        <w:t>数</w:t>
      </w:r>
      <w:r>
        <w:rPr>
          <w:rFonts w:hint="eastAsia" w:ascii="仿宋_GB2312" w:hAnsi="仿宋" w:eastAsia="仿宋_GB2312"/>
          <w:sz w:val="32"/>
          <w:szCs w:val="32"/>
        </w:rPr>
        <w:t>增加。</w:t>
      </w:r>
    </w:p>
    <w:p w14:paraId="73A8B32D">
      <w:pPr>
        <w:spacing w:line="360" w:lineRule="auto"/>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卫生健康支出（类）行政事业单位医疗（款）公务员医疗补助（项）：支出决算数为35.22万元，比上年决算增加</w:t>
      </w:r>
      <w:r>
        <w:rPr>
          <w:rFonts w:hint="eastAsia" w:ascii="仿宋_GB2312" w:eastAsia="仿宋_GB2312"/>
          <w:sz w:val="32"/>
          <w:szCs w:val="32"/>
        </w:rPr>
        <w:t>0.38</w:t>
      </w:r>
      <w:r>
        <w:rPr>
          <w:rFonts w:ascii="仿宋_GB2312" w:eastAsia="仿宋_GB2312"/>
          <w:sz w:val="32"/>
          <w:szCs w:val="32"/>
        </w:rPr>
        <w:t>万元，增长</w:t>
      </w:r>
      <w:r>
        <w:rPr>
          <w:rFonts w:hint="eastAsia" w:ascii="仿宋_GB2312" w:eastAsia="仿宋_GB2312"/>
          <w:sz w:val="32"/>
          <w:szCs w:val="32"/>
        </w:rPr>
        <w:t>1.09</w:t>
      </w:r>
      <w:r>
        <w:rPr>
          <w:rFonts w:ascii="仿宋_GB2312" w:eastAsia="仿宋_GB2312"/>
          <w:sz w:val="32"/>
          <w:szCs w:val="32"/>
        </w:rPr>
        <w:t>%，主要原因是：</w:t>
      </w:r>
      <w:r>
        <w:rPr>
          <w:rFonts w:hint="eastAsia" w:ascii="仿宋_GB2312" w:hAnsi="仿宋" w:eastAsia="仿宋_GB2312"/>
          <w:sz w:val="32"/>
          <w:szCs w:val="32"/>
        </w:rPr>
        <w:t>2025年度公务员医疗补助缴费基数上调，因此医疗补助</w:t>
      </w:r>
      <w:r>
        <w:rPr>
          <w:rFonts w:hint="eastAsia" w:ascii="仿宋_GB2312" w:hAnsi="仿宋" w:eastAsia="仿宋_GB2312"/>
          <w:sz w:val="32"/>
          <w:szCs w:val="32"/>
          <w:lang w:eastAsia="zh-CN"/>
        </w:rPr>
        <w:t>较</w:t>
      </w:r>
      <w:r>
        <w:rPr>
          <w:rFonts w:hint="eastAsia" w:ascii="仿宋_GB2312" w:hAnsi="仿宋" w:eastAsia="仿宋_GB2312"/>
          <w:sz w:val="32"/>
          <w:szCs w:val="32"/>
        </w:rPr>
        <w:t>上年决算数增加。</w:t>
      </w:r>
    </w:p>
    <w:p w14:paraId="1A254222">
      <w:pPr>
        <w:widowControl/>
        <w:spacing w:line="360" w:lineRule="auto"/>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自然资源海洋气象等支出（类）自然资源事务（款）自然资源社会公益服务（项）：支出决算数为3,345.24万元，比上年决算增加</w:t>
      </w:r>
      <w:r>
        <w:rPr>
          <w:rFonts w:hint="eastAsia" w:ascii="仿宋_GB2312" w:eastAsia="仿宋_GB2312"/>
          <w:sz w:val="32"/>
          <w:szCs w:val="32"/>
        </w:rPr>
        <w:t>1,285.42</w:t>
      </w:r>
      <w:r>
        <w:rPr>
          <w:rFonts w:ascii="仿宋_GB2312" w:eastAsia="仿宋_GB2312"/>
          <w:sz w:val="32"/>
          <w:szCs w:val="32"/>
        </w:rPr>
        <w:t>万元，增长</w:t>
      </w:r>
      <w:r>
        <w:rPr>
          <w:rFonts w:hint="eastAsia" w:ascii="仿宋_GB2312" w:eastAsia="仿宋_GB2312"/>
          <w:sz w:val="32"/>
          <w:szCs w:val="32"/>
        </w:rPr>
        <w:t>62.4</w:t>
      </w:r>
      <w:r>
        <w:rPr>
          <w:rFonts w:hint="eastAsia" w:ascii="仿宋_GB2312" w:eastAsia="仿宋_GB2312"/>
          <w:sz w:val="32"/>
          <w:szCs w:val="32"/>
          <w:lang w:val="en-US" w:eastAsia="zh-CN"/>
        </w:rPr>
        <w:t>0</w:t>
      </w:r>
      <w:r>
        <w:rPr>
          <w:rFonts w:ascii="仿宋_GB2312" w:eastAsia="仿宋_GB2312"/>
          <w:sz w:val="32"/>
          <w:szCs w:val="32"/>
        </w:rPr>
        <w:t>%，主要原因是：</w:t>
      </w:r>
      <w:r>
        <w:rPr>
          <w:rFonts w:hint="eastAsia" w:ascii="仿宋_GB2312" w:eastAsia="仿宋_GB2312"/>
          <w:sz w:val="32"/>
          <w:szCs w:val="32"/>
        </w:rPr>
        <w:t>2025年年底</w:t>
      </w:r>
      <w:r>
        <w:rPr>
          <w:rFonts w:hint="eastAsia" w:ascii="仿宋_GB2312" w:eastAsia="仿宋_GB2312"/>
          <w:sz w:val="32"/>
          <w:szCs w:val="32"/>
          <w:lang w:eastAsia="zh-CN"/>
        </w:rPr>
        <w:t>增加两个</w:t>
      </w:r>
      <w:r>
        <w:rPr>
          <w:rFonts w:hint="eastAsia" w:ascii="仿宋_GB2312" w:eastAsia="仿宋_GB2312"/>
          <w:sz w:val="32"/>
          <w:szCs w:val="32"/>
        </w:rPr>
        <w:t>财政项目，分别为自治区农用地数字化动态监管平台建设项目</w:t>
      </w:r>
      <w:r>
        <w:rPr>
          <w:rFonts w:hint="eastAsia" w:ascii="仿宋_GB2312" w:eastAsia="仿宋_GB2312"/>
          <w:sz w:val="32"/>
          <w:szCs w:val="32"/>
          <w:lang w:eastAsia="zh-CN"/>
        </w:rPr>
        <w:t>、</w:t>
      </w:r>
      <w:r>
        <w:rPr>
          <w:rFonts w:hint="eastAsia" w:ascii="仿宋_GB2312" w:eastAsia="仿宋_GB2312"/>
          <w:sz w:val="32"/>
          <w:szCs w:val="32"/>
        </w:rPr>
        <w:t>2025年信息化项目。</w:t>
      </w:r>
    </w:p>
    <w:p w14:paraId="73046838">
      <w:pPr>
        <w:widowControl/>
        <w:spacing w:line="360" w:lineRule="auto"/>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自然资源海洋气象等支出（类）自然资源事务（款）基础测绘与地理信息监管（项）：支出决算数为16.93万元，比上年决算增加16.93万元，增长100.00%，主要原因是：</w:t>
      </w:r>
      <w:r>
        <w:rPr>
          <w:rFonts w:hint="eastAsia" w:ascii="仿宋_GB2312" w:eastAsia="仿宋_GB2312"/>
          <w:sz w:val="32"/>
          <w:szCs w:val="32"/>
        </w:rPr>
        <w:t>2025年增加新疆自然资源领域（区本级）单北斗替代项目。</w:t>
      </w:r>
    </w:p>
    <w:p w14:paraId="1F9641FA">
      <w:pPr>
        <w:widowControl/>
        <w:spacing w:line="360" w:lineRule="auto"/>
        <w:ind w:firstLine="640" w:firstLineChars="200"/>
        <w:rPr>
          <w:rFonts w:ascii="仿宋_GB2312" w:eastAsia="仿宋_GB2312"/>
          <w:sz w:val="32"/>
          <w:szCs w:val="32"/>
        </w:rPr>
      </w:pPr>
      <w:r>
        <w:rPr>
          <w:rFonts w:ascii="仿宋_GB2312" w:eastAsia="仿宋_GB2312"/>
          <w:color w:val="000000" w:themeColor="text1"/>
          <w:sz w:val="32"/>
          <w:szCs w:val="32"/>
          <w14:textFill>
            <w14:solidFill>
              <w14:schemeClr w14:val="tx1"/>
            </w14:solidFill>
          </w14:textFill>
        </w:rPr>
        <w:t>8</w:t>
      </w:r>
      <w:r>
        <w:rPr>
          <w:rFonts w:hint="eastAsia" w:ascii="仿宋_GB2312" w:eastAsia="仿宋_GB2312"/>
          <w:color w:val="000000" w:themeColor="text1"/>
          <w:sz w:val="32"/>
          <w:szCs w:val="32"/>
          <w:lang w:val="en-US" w:eastAsia="zh-CN"/>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自然资源海洋气象等支出（类）自然资源事务（款）事业运行（项）：支出决算数为629.57万元，</w:t>
      </w:r>
      <w:r>
        <w:rPr>
          <w:rFonts w:ascii="仿宋_GB2312" w:eastAsia="仿宋_GB2312"/>
          <w:sz w:val="32"/>
          <w:szCs w:val="32"/>
        </w:rPr>
        <w:t>比上年决算</w:t>
      </w:r>
      <w:r>
        <w:rPr>
          <w:rFonts w:hint="eastAsia" w:ascii="仿宋_GB2312" w:eastAsia="仿宋_GB2312"/>
          <w:sz w:val="32"/>
          <w:szCs w:val="32"/>
        </w:rPr>
        <w:t>增加了18.94万元</w:t>
      </w:r>
      <w:r>
        <w:rPr>
          <w:rFonts w:ascii="仿宋_GB2312" w:eastAsia="仿宋_GB2312"/>
          <w:sz w:val="32"/>
          <w:szCs w:val="32"/>
        </w:rPr>
        <w:t>，</w:t>
      </w:r>
      <w:r>
        <w:rPr>
          <w:rFonts w:hint="eastAsia" w:ascii="仿宋_GB2312" w:eastAsia="仿宋_GB2312"/>
          <w:sz w:val="32"/>
          <w:szCs w:val="32"/>
        </w:rPr>
        <w:t>增长3.1</w:t>
      </w:r>
      <w:r>
        <w:rPr>
          <w:rFonts w:hint="eastAsia" w:ascii="仿宋_GB2312" w:eastAsia="仿宋_GB2312"/>
          <w:sz w:val="32"/>
          <w:szCs w:val="32"/>
          <w:lang w:val="en-US" w:eastAsia="zh-CN"/>
        </w:rPr>
        <w:t>0</w:t>
      </w:r>
      <w:r>
        <w:rPr>
          <w:rFonts w:hint="eastAsia" w:ascii="仿宋_GB2312" w:eastAsia="仿宋_GB2312"/>
          <w:sz w:val="32"/>
          <w:szCs w:val="32"/>
        </w:rPr>
        <w:t>%</w:t>
      </w:r>
      <w:r>
        <w:rPr>
          <w:rFonts w:ascii="仿宋_GB2312" w:eastAsia="仿宋_GB2312"/>
          <w:color w:val="000000" w:themeColor="text1"/>
          <w:sz w:val="32"/>
          <w:szCs w:val="32"/>
          <w14:textFill>
            <w14:solidFill>
              <w14:schemeClr w14:val="tx1"/>
            </w14:solidFill>
          </w14:textFill>
        </w:rPr>
        <w:t>，主要原因是：</w:t>
      </w:r>
      <w:r>
        <w:rPr>
          <w:rFonts w:hint="eastAsia" w:ascii="仿宋_GB2312" w:eastAsia="仿宋_GB2312"/>
          <w:sz w:val="32"/>
          <w:szCs w:val="32"/>
        </w:rPr>
        <w:t>2025年人员工资、基础绩效奖普调</w:t>
      </w:r>
      <w:r>
        <w:rPr>
          <w:rFonts w:hint="eastAsia" w:ascii="仿宋_GB2312" w:eastAsia="仿宋_GB2312"/>
          <w:sz w:val="32"/>
          <w:szCs w:val="32"/>
          <w:lang w:eastAsia="zh-CN"/>
        </w:rPr>
        <w:t>，基本支出较上年增加</w:t>
      </w:r>
      <w:r>
        <w:rPr>
          <w:rFonts w:hint="eastAsia" w:ascii="仿宋_GB2312" w:eastAsia="仿宋_GB2312"/>
          <w:sz w:val="32"/>
          <w:szCs w:val="32"/>
        </w:rPr>
        <w:t>。</w:t>
      </w:r>
    </w:p>
    <w:p w14:paraId="6401D5FB">
      <w:pPr>
        <w:spacing w:line="360" w:lineRule="auto"/>
        <w:ind w:firstLine="640" w:firstLineChars="200"/>
        <w:rPr>
          <w:rFonts w:ascii="仿宋_GB2312" w:hAnsi="仿宋" w:eastAsia="仿宋_GB2312"/>
          <w:sz w:val="32"/>
          <w:szCs w:val="32"/>
        </w:rPr>
      </w:pPr>
      <w:r>
        <w:rPr>
          <w:rFonts w:ascii="仿宋_GB2312" w:eastAsia="仿宋_GB2312"/>
          <w:sz w:val="32"/>
          <w:szCs w:val="32"/>
        </w:rPr>
        <w:t>9</w:t>
      </w:r>
      <w:r>
        <w:rPr>
          <w:rFonts w:hint="eastAsia" w:ascii="仿宋_GB2312" w:eastAsia="仿宋_GB2312"/>
          <w:sz w:val="32"/>
          <w:szCs w:val="32"/>
          <w:lang w:val="en-US" w:eastAsia="zh-CN"/>
        </w:rPr>
        <w:t>.</w:t>
      </w:r>
      <w:r>
        <w:rPr>
          <w:rFonts w:ascii="仿宋_GB2312" w:eastAsia="仿宋_GB2312"/>
          <w:sz w:val="32"/>
          <w:szCs w:val="32"/>
        </w:rPr>
        <w:t>住房保障支出（类）住房改革支出（款）住房公积金（项）：支出决算数为63.47万元，比上年决算</w:t>
      </w:r>
      <w:r>
        <w:rPr>
          <w:rFonts w:hint="eastAsia" w:ascii="仿宋_GB2312" w:eastAsia="仿宋_GB2312"/>
          <w:sz w:val="32"/>
          <w:szCs w:val="32"/>
        </w:rPr>
        <w:t>减少0.48万元，下降0.75%，</w:t>
      </w:r>
      <w:r>
        <w:rPr>
          <w:rFonts w:ascii="仿宋_GB2312" w:eastAsia="仿宋_GB2312"/>
          <w:sz w:val="32"/>
          <w:szCs w:val="32"/>
        </w:rPr>
        <w:t>主要原因是：</w:t>
      </w:r>
      <w:r>
        <w:rPr>
          <w:rFonts w:hint="eastAsia" w:ascii="仿宋_GB2312" w:eastAsia="仿宋_GB2312"/>
          <w:sz w:val="32"/>
          <w:szCs w:val="32"/>
        </w:rPr>
        <w:t>2025年1月有2人调出，2025年年底新增6人，新增人员缴费基数较低</w:t>
      </w:r>
      <w:r>
        <w:rPr>
          <w:rFonts w:hint="eastAsia" w:ascii="仿宋_GB2312" w:eastAsia="仿宋_GB2312"/>
          <w:sz w:val="32"/>
          <w:szCs w:val="32"/>
          <w:lang w:eastAsia="zh-CN"/>
        </w:rPr>
        <w:t>，导致住房公积金支出较上年减少</w:t>
      </w:r>
      <w:r>
        <w:rPr>
          <w:rFonts w:hint="eastAsia" w:ascii="仿宋_GB2312" w:eastAsia="仿宋_GB2312"/>
          <w:sz w:val="32"/>
          <w:szCs w:val="32"/>
        </w:rPr>
        <w:t>。</w:t>
      </w:r>
    </w:p>
    <w:p w14:paraId="3C8AE337">
      <w:pPr>
        <w:widowControl/>
        <w:spacing w:line="360" w:lineRule="auto"/>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097BFD7E">
      <w:pPr>
        <w:widowControl/>
        <w:spacing w:line="360" w:lineRule="auto"/>
        <w:ind w:firstLine="640" w:firstLineChars="200"/>
        <w:rPr>
          <w:rFonts w:ascii="仿宋_GB2312" w:eastAsia="仿宋_GB2312"/>
          <w:sz w:val="32"/>
          <w:szCs w:val="32"/>
        </w:rPr>
      </w:pPr>
      <w:r>
        <w:rPr>
          <w:rFonts w:ascii="仿宋_GB2312" w:eastAsia="仿宋_GB2312"/>
          <w:sz w:val="32"/>
          <w:szCs w:val="32"/>
        </w:rPr>
        <w:t>2025年度一般公共预算财政拨款基本支出947.22万元，其中：</w:t>
      </w:r>
      <w:r>
        <w:rPr>
          <w:rFonts w:ascii="仿宋_GB2312" w:eastAsia="仿宋_GB2312"/>
          <w:b/>
          <w:bCs/>
          <w:sz w:val="32"/>
          <w:szCs w:val="32"/>
        </w:rPr>
        <w:t>人员经费910.78万元</w:t>
      </w:r>
      <w:r>
        <w:rPr>
          <w:rFonts w:ascii="仿宋_GB2312" w:eastAsia="仿宋_GB2312"/>
          <w:sz w:val="32"/>
          <w:szCs w:val="32"/>
        </w:rPr>
        <w:t>，包括：基本工资、津贴补贴、奖金、绩效工资、机关事业单位基本养老保险缴费、职业年金缴费、职工基本医疗保险缴费、公务员医疗补助缴费、其他社会保障缴费、住房公积金、退休费和其他对个人和家庭的补助。</w:t>
      </w:r>
    </w:p>
    <w:p w14:paraId="375E9C61">
      <w:pPr>
        <w:widowControl/>
        <w:spacing w:line="360" w:lineRule="auto"/>
        <w:ind w:firstLine="643" w:firstLineChars="200"/>
        <w:rPr>
          <w:rFonts w:ascii="仿宋_GB2312" w:eastAsia="仿宋_GB2312"/>
          <w:sz w:val="32"/>
          <w:szCs w:val="32"/>
        </w:rPr>
      </w:pPr>
      <w:r>
        <w:rPr>
          <w:rFonts w:ascii="仿宋_GB2312" w:eastAsia="仿宋_GB2312"/>
          <w:b/>
          <w:bCs/>
          <w:sz w:val="32"/>
          <w:szCs w:val="32"/>
        </w:rPr>
        <w:t>公用经费36.44万元</w:t>
      </w:r>
      <w:r>
        <w:rPr>
          <w:rFonts w:ascii="仿宋_GB2312" w:eastAsia="仿宋_GB2312"/>
          <w:sz w:val="32"/>
          <w:szCs w:val="32"/>
        </w:rPr>
        <w:t>，包括：办公费、水费、电费、邮电费、差旅费、工会经费、福利费、公务用车运行维护费和其他商品和服务支出。</w:t>
      </w:r>
    </w:p>
    <w:p w14:paraId="04DF553C">
      <w:pPr>
        <w:widowControl/>
        <w:spacing w:line="360" w:lineRule="auto"/>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48F954CD">
      <w:pPr>
        <w:widowControl/>
        <w:spacing w:line="360" w:lineRule="auto"/>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0DCC1657">
      <w:pPr>
        <w:widowControl/>
        <w:spacing w:line="360" w:lineRule="auto"/>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48F33755">
      <w:pPr>
        <w:widowControl/>
        <w:spacing w:line="360" w:lineRule="auto"/>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DBE77CC">
      <w:pPr>
        <w:widowControl/>
        <w:spacing w:line="360" w:lineRule="auto"/>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363107A9">
      <w:pPr>
        <w:widowControl/>
        <w:spacing w:line="360" w:lineRule="auto"/>
        <w:ind w:firstLine="643" w:firstLineChars="200"/>
        <w:rPr>
          <w:rFonts w:ascii="仿宋_GB2312" w:eastAsia="仿宋_GB2312"/>
          <w:sz w:val="32"/>
          <w:szCs w:val="32"/>
        </w:rPr>
      </w:pPr>
      <w:r>
        <w:rPr>
          <w:rFonts w:ascii="仿宋_GB2312" w:eastAsia="仿宋_GB2312"/>
          <w:b/>
          <w:bCs/>
          <w:sz w:val="32"/>
          <w:szCs w:val="32"/>
        </w:rPr>
        <w:t>2025年度财政拨款“三公”经费支出5.00万元</w:t>
      </w:r>
      <w:r>
        <w:rPr>
          <w:rFonts w:ascii="仿宋_GB2312" w:eastAsia="仿宋_GB2312"/>
          <w:sz w:val="32"/>
          <w:szCs w:val="32"/>
        </w:rPr>
        <w:t>，比上年增加0.05万元，增长1.01%，主要原因是：</w:t>
      </w:r>
      <w:r>
        <w:rPr>
          <w:rFonts w:hint="eastAsia" w:ascii="仿宋_GB2312" w:eastAsia="仿宋_GB2312"/>
          <w:sz w:val="32"/>
          <w:szCs w:val="32"/>
        </w:rPr>
        <w:t>2025年公务用车维护工作有序推进，受公务出行、公务保障等实际业务需求影响，经费支出小幅度上涨</w:t>
      </w:r>
      <w:r>
        <w:rPr>
          <w:rFonts w:ascii="仿宋_GB2312" w:eastAsia="仿宋_GB2312"/>
          <w:sz w:val="32"/>
          <w:szCs w:val="32"/>
        </w:rPr>
        <w:t>。其中：因公出国（境）费用支出0.00万元,占0.00%，</w:t>
      </w:r>
      <w:r>
        <w:rPr>
          <w:rFonts w:ascii="仿宋_GB2312" w:eastAsia="仿宋_GB2312"/>
          <w:sz w:val="32"/>
          <w:szCs w:val="32"/>
          <w:lang w:eastAsia="zh-CN"/>
        </w:rPr>
        <w:t>比上年增加0.00万元，增长0.00%</w:t>
      </w:r>
      <w:r>
        <w:rPr>
          <w:rFonts w:ascii="仿宋_GB2312" w:eastAsia="仿宋_GB2312"/>
          <w:sz w:val="32"/>
          <w:szCs w:val="32"/>
        </w:rPr>
        <w:t>，主要原因是：</w:t>
      </w:r>
      <w:r>
        <w:rPr>
          <w:rFonts w:hint="eastAsia" w:ascii="仿宋_GB2312" w:eastAsia="仿宋_GB2312"/>
          <w:sz w:val="32"/>
          <w:szCs w:val="32"/>
          <w:lang w:val="en-US" w:eastAsia="zh-CN"/>
        </w:rPr>
        <w:t>2024年与</w:t>
      </w:r>
      <w:r>
        <w:rPr>
          <w:rFonts w:hint="eastAsia" w:ascii="仿宋_GB2312" w:hAnsi="仿宋" w:eastAsia="仿宋_GB2312"/>
          <w:sz w:val="32"/>
          <w:szCs w:val="32"/>
        </w:rPr>
        <w:t>2025年我单位</w:t>
      </w:r>
      <w:r>
        <w:rPr>
          <w:rFonts w:hint="eastAsia" w:ascii="仿宋_GB2312" w:hAnsi="仿宋" w:eastAsia="仿宋_GB2312"/>
          <w:sz w:val="32"/>
          <w:szCs w:val="32"/>
          <w:lang w:eastAsia="zh-CN"/>
        </w:rPr>
        <w:t>均</w:t>
      </w:r>
      <w:r>
        <w:rPr>
          <w:rFonts w:hint="eastAsia" w:ascii="仿宋_GB2312" w:hAnsi="仿宋" w:eastAsia="仿宋_GB2312"/>
          <w:sz w:val="32"/>
          <w:szCs w:val="32"/>
        </w:rPr>
        <w:t>未安排因公出国（境）费支出</w:t>
      </w:r>
      <w:r>
        <w:rPr>
          <w:rFonts w:ascii="仿宋_GB2312" w:eastAsia="仿宋_GB2312"/>
          <w:sz w:val="32"/>
          <w:szCs w:val="32"/>
        </w:rPr>
        <w:t>；公务用车购置及运行维护费支出5.00万元，占100.00%，比上年增加0.05万元，增长1.01%，主要原因是：</w:t>
      </w:r>
      <w:r>
        <w:rPr>
          <w:rFonts w:hint="eastAsia" w:ascii="仿宋_GB2312" w:eastAsia="仿宋_GB2312"/>
          <w:sz w:val="32"/>
          <w:szCs w:val="32"/>
        </w:rPr>
        <w:t>2025年公务用车维护工作有序推进，受公务出行、公务保障等实际业务需求影响，经费支出小幅度上涨</w:t>
      </w:r>
      <w:r>
        <w:rPr>
          <w:rFonts w:ascii="仿宋_GB2312" w:eastAsia="仿宋_GB2312"/>
          <w:sz w:val="32"/>
          <w:szCs w:val="32"/>
        </w:rPr>
        <w:t>。公务接待费支出0.00万元，占0.00%，</w:t>
      </w:r>
      <w:r>
        <w:rPr>
          <w:rFonts w:ascii="仿宋_GB2312" w:eastAsia="仿宋_GB2312"/>
          <w:sz w:val="32"/>
          <w:szCs w:val="32"/>
          <w:lang w:eastAsia="zh-CN"/>
        </w:rPr>
        <w:t>比上年增加0.00万元，增长0.00%</w:t>
      </w:r>
      <w:r>
        <w:rPr>
          <w:rFonts w:ascii="仿宋_GB2312" w:eastAsia="仿宋_GB2312"/>
          <w:sz w:val="32"/>
          <w:szCs w:val="32"/>
        </w:rPr>
        <w:t>，主要原因是：</w:t>
      </w:r>
      <w:r>
        <w:rPr>
          <w:rFonts w:hint="eastAsia" w:ascii="仿宋_GB2312" w:eastAsia="仿宋_GB2312"/>
          <w:sz w:val="32"/>
          <w:szCs w:val="32"/>
          <w:lang w:val="en-US" w:eastAsia="zh-CN"/>
        </w:rPr>
        <w:t>2024年与</w:t>
      </w:r>
      <w:r>
        <w:rPr>
          <w:rFonts w:hint="eastAsia" w:ascii="仿宋_GB2312" w:hAnsi="仿宋" w:eastAsia="仿宋_GB2312"/>
          <w:sz w:val="32"/>
          <w:szCs w:val="32"/>
        </w:rPr>
        <w:t>2025年我单位</w:t>
      </w:r>
      <w:r>
        <w:rPr>
          <w:rFonts w:hint="eastAsia" w:ascii="仿宋_GB2312" w:hAnsi="仿宋" w:eastAsia="仿宋_GB2312"/>
          <w:sz w:val="32"/>
          <w:szCs w:val="32"/>
          <w:lang w:eastAsia="zh-CN"/>
        </w:rPr>
        <w:t>均</w:t>
      </w:r>
      <w:r>
        <w:rPr>
          <w:rFonts w:hint="eastAsia" w:ascii="仿宋_GB2312" w:hAnsi="仿宋" w:eastAsia="仿宋_GB2312"/>
          <w:sz w:val="32"/>
          <w:szCs w:val="32"/>
        </w:rPr>
        <w:t>未安排公务接待费用支出。</w:t>
      </w:r>
    </w:p>
    <w:p w14:paraId="7297E81E">
      <w:pPr>
        <w:widowControl/>
        <w:spacing w:line="360" w:lineRule="auto"/>
        <w:ind w:firstLine="643" w:firstLineChars="200"/>
        <w:jc w:val="left"/>
        <w:rPr>
          <w:rFonts w:ascii="仿宋_GB2312" w:eastAsia="仿宋_GB2312"/>
          <w:sz w:val="32"/>
          <w:szCs w:val="32"/>
        </w:rPr>
      </w:pPr>
      <w:r>
        <w:rPr>
          <w:rFonts w:ascii="仿宋_GB2312" w:eastAsia="仿宋_GB2312"/>
          <w:b/>
          <w:bCs/>
          <w:sz w:val="32"/>
          <w:szCs w:val="32"/>
        </w:rPr>
        <w:t>具体情况如下</w:t>
      </w:r>
      <w:r>
        <w:rPr>
          <w:rFonts w:ascii="仿宋_GB2312" w:eastAsia="仿宋_GB2312"/>
          <w:sz w:val="32"/>
          <w:szCs w:val="32"/>
        </w:rPr>
        <w:t>：</w:t>
      </w:r>
    </w:p>
    <w:p w14:paraId="22D221B3">
      <w:pPr>
        <w:widowControl/>
        <w:spacing w:line="360" w:lineRule="auto"/>
        <w:ind w:firstLine="640" w:firstLineChars="200"/>
        <w:rPr>
          <w:rFonts w:ascii="仿宋_GB2312" w:eastAsia="仿宋_GB2312"/>
          <w:sz w:val="32"/>
          <w:szCs w:val="32"/>
        </w:rPr>
      </w:pPr>
      <w:r>
        <w:rPr>
          <w:rFonts w:ascii="仿宋_GB2312" w:eastAsia="仿宋_GB2312"/>
          <w:sz w:val="32"/>
          <w:szCs w:val="32"/>
        </w:rPr>
        <w:t>因公出国（境）费用支出0.00万元，开支内容包括</w:t>
      </w:r>
      <w:r>
        <w:rPr>
          <w:rFonts w:hint="eastAsia" w:ascii="仿宋_GB2312" w:hAnsi="仿宋" w:eastAsia="仿宋_GB2312"/>
          <w:sz w:val="32"/>
          <w:szCs w:val="32"/>
        </w:rPr>
        <w:t>2025年度我单位未安排因公出国（境）费支出</w:t>
      </w:r>
      <w:r>
        <w:rPr>
          <w:rFonts w:ascii="仿宋_GB2312" w:eastAsia="仿宋_GB2312"/>
          <w:sz w:val="32"/>
          <w:szCs w:val="32"/>
        </w:rPr>
        <w:t>。单位全年安排的因公出国（境）团组0个，因公出国（境）0人次。</w:t>
      </w:r>
    </w:p>
    <w:p w14:paraId="337DB011">
      <w:pPr>
        <w:widowControl/>
        <w:spacing w:line="360" w:lineRule="auto"/>
        <w:ind w:firstLine="640" w:firstLineChars="200"/>
        <w:rPr>
          <w:rFonts w:ascii="仿宋_GB2312" w:eastAsia="仿宋_GB2312"/>
          <w:sz w:val="32"/>
          <w:szCs w:val="32"/>
        </w:rPr>
      </w:pPr>
      <w:r>
        <w:rPr>
          <w:rFonts w:ascii="仿宋_GB2312" w:eastAsia="仿宋_GB2312"/>
          <w:sz w:val="32"/>
          <w:szCs w:val="32"/>
        </w:rPr>
        <w:t>公务用车购置及运行维护费5.00万元，其中：公务用车购置费0.00万元，公务用车运行维护费5.00万元。公务用车运行维护费开支内容包括</w:t>
      </w:r>
      <w:r>
        <w:rPr>
          <w:rFonts w:hint="eastAsia" w:ascii="仿宋_GB2312" w:hAnsi="仿宋" w:eastAsia="仿宋_GB2312"/>
          <w:sz w:val="32"/>
          <w:szCs w:val="32"/>
        </w:rPr>
        <w:t>公务用车的车辆燃油费、车辆维修费、车辆保险费</w:t>
      </w:r>
      <w:r>
        <w:rPr>
          <w:rFonts w:ascii="仿宋_GB2312" w:eastAsia="仿宋_GB2312"/>
          <w:sz w:val="32"/>
          <w:szCs w:val="32"/>
        </w:rPr>
        <w:t>。公务用车购置数0辆，公务用车保有量3辆。国有资产占用情况中固定资产车辆3辆，与公务用车保有量差异原因是：固定资产车辆与公务用车保有量</w:t>
      </w:r>
      <w:r>
        <w:rPr>
          <w:rFonts w:hint="eastAsia" w:ascii="仿宋_GB2312" w:eastAsia="仿宋_GB2312"/>
          <w:sz w:val="32"/>
          <w:szCs w:val="32"/>
        </w:rPr>
        <w:t>无差异</w:t>
      </w:r>
      <w:r>
        <w:rPr>
          <w:rFonts w:ascii="仿宋_GB2312" w:eastAsia="仿宋_GB2312"/>
          <w:sz w:val="32"/>
          <w:szCs w:val="32"/>
        </w:rPr>
        <w:t>。</w:t>
      </w:r>
    </w:p>
    <w:p w14:paraId="57EF8234">
      <w:pPr>
        <w:widowControl/>
        <w:spacing w:line="360" w:lineRule="auto"/>
        <w:ind w:firstLine="640" w:firstLineChars="200"/>
        <w:rPr>
          <w:rFonts w:ascii="仿宋_GB2312" w:eastAsia="仿宋_GB2312"/>
          <w:sz w:val="32"/>
          <w:szCs w:val="32"/>
        </w:rPr>
      </w:pPr>
      <w:r>
        <w:rPr>
          <w:rFonts w:ascii="仿宋_GB2312" w:eastAsia="仿宋_GB2312"/>
          <w:sz w:val="32"/>
          <w:szCs w:val="32"/>
        </w:rPr>
        <w:t>公务接待费0.00万元，开支内容包括</w:t>
      </w:r>
      <w:r>
        <w:rPr>
          <w:rFonts w:hint="eastAsia" w:ascii="仿宋_GB2312" w:eastAsia="仿宋_GB2312"/>
          <w:sz w:val="32"/>
          <w:szCs w:val="32"/>
        </w:rPr>
        <w:t>2</w:t>
      </w:r>
      <w:r>
        <w:rPr>
          <w:rFonts w:ascii="仿宋_GB2312" w:eastAsia="仿宋_GB2312"/>
          <w:sz w:val="32"/>
          <w:szCs w:val="32"/>
        </w:rPr>
        <w:t>025年度我单位未安排公务接待费支出。单位全年安排的国内公务接待0批次，0人次。</w:t>
      </w:r>
    </w:p>
    <w:p w14:paraId="5952C4F2">
      <w:pPr>
        <w:widowControl/>
        <w:spacing w:line="360" w:lineRule="auto"/>
        <w:ind w:firstLine="643" w:firstLineChars="200"/>
        <w:rPr>
          <w:rFonts w:ascii="仿宋_GB2312" w:eastAsia="仿宋_GB2312"/>
          <w:sz w:val="32"/>
          <w:szCs w:val="32"/>
        </w:rPr>
      </w:pPr>
      <w:r>
        <w:rPr>
          <w:rFonts w:ascii="仿宋_GB2312" w:eastAsia="仿宋_GB2312"/>
          <w:b/>
          <w:bCs/>
          <w:sz w:val="32"/>
          <w:szCs w:val="32"/>
        </w:rPr>
        <w:t>与全年预算相比</w:t>
      </w:r>
      <w:r>
        <w:rPr>
          <w:rFonts w:ascii="仿宋_GB2312" w:eastAsia="仿宋_GB2312"/>
          <w:sz w:val="32"/>
          <w:szCs w:val="32"/>
        </w:rPr>
        <w:t>，财政拨款“三公”经费支出全年预算数5.00万元，决算数5.00万元，预决算差异率0.00%，主要原因是：</w:t>
      </w:r>
      <w:r>
        <w:rPr>
          <w:rFonts w:hint="eastAsia" w:ascii="仿宋_GB2312" w:eastAsia="仿宋_GB2312"/>
          <w:sz w:val="32"/>
          <w:szCs w:val="32"/>
          <w:lang w:eastAsia="zh-CN"/>
        </w:rPr>
        <w:t>预决算无差异</w:t>
      </w:r>
      <w:r>
        <w:rPr>
          <w:rFonts w:ascii="仿宋_GB2312" w:eastAsia="仿宋_GB2312"/>
          <w:sz w:val="32"/>
          <w:szCs w:val="32"/>
        </w:rPr>
        <w:t>。其中：因公出国（境）费用全年预算数0.00万元，决算数0.00万元，预决算差异率0.00%，主要原因是：</w:t>
      </w:r>
      <w:r>
        <w:rPr>
          <w:rFonts w:hint="eastAsia" w:ascii="仿宋_GB2312" w:hAnsi="仿宋" w:eastAsia="仿宋_GB2312"/>
          <w:sz w:val="32"/>
          <w:szCs w:val="32"/>
        </w:rPr>
        <w:t>我单位</w:t>
      </w:r>
      <w:r>
        <w:rPr>
          <w:rFonts w:hint="eastAsia" w:ascii="仿宋_GB2312" w:hAnsi="仿宋" w:eastAsia="仿宋_GB2312"/>
          <w:sz w:val="32"/>
          <w:szCs w:val="32"/>
          <w:lang w:eastAsia="zh-CN"/>
        </w:rPr>
        <w:t>无</w:t>
      </w:r>
      <w:r>
        <w:rPr>
          <w:rFonts w:hint="eastAsia" w:ascii="仿宋_GB2312" w:hAnsi="仿宋" w:eastAsia="仿宋_GB2312"/>
          <w:sz w:val="32"/>
          <w:szCs w:val="32"/>
        </w:rPr>
        <w:t>因公出国（境）费支出</w:t>
      </w:r>
      <w:r>
        <w:rPr>
          <w:rFonts w:ascii="仿宋_GB2312" w:eastAsia="仿宋_GB2312"/>
          <w:sz w:val="32"/>
          <w:szCs w:val="32"/>
        </w:rPr>
        <w:t>；公务用车购置费全年预算数0.00万元，决算数0.00万元，预决算差异率0.00%，主要原因是：</w:t>
      </w:r>
      <w:r>
        <w:rPr>
          <w:rFonts w:hint="eastAsia" w:ascii="仿宋_GB2312" w:hAnsi="仿宋" w:eastAsia="仿宋_GB2312"/>
          <w:sz w:val="32"/>
          <w:szCs w:val="32"/>
        </w:rPr>
        <w:t>我单位</w:t>
      </w:r>
      <w:r>
        <w:rPr>
          <w:rFonts w:hint="eastAsia" w:ascii="仿宋_GB2312" w:hAnsi="仿宋" w:eastAsia="仿宋_GB2312"/>
          <w:sz w:val="32"/>
          <w:szCs w:val="32"/>
          <w:lang w:eastAsia="zh-CN"/>
        </w:rPr>
        <w:t>无</w:t>
      </w:r>
      <w:r>
        <w:rPr>
          <w:rFonts w:hint="eastAsia" w:ascii="仿宋_GB2312" w:hAnsi="仿宋" w:eastAsia="仿宋_GB2312"/>
          <w:sz w:val="32"/>
          <w:szCs w:val="32"/>
        </w:rPr>
        <w:t>公务用车购置费支出</w:t>
      </w:r>
      <w:r>
        <w:rPr>
          <w:rFonts w:ascii="仿宋_GB2312" w:eastAsia="仿宋_GB2312"/>
          <w:sz w:val="32"/>
          <w:szCs w:val="32"/>
        </w:rPr>
        <w:t>；公务用车运行维护费全年预算数5.00万元，决算数5.00万元，预决算差异率0.00%，主要原因是：</w:t>
      </w:r>
      <w:r>
        <w:rPr>
          <w:rFonts w:hint="eastAsia" w:ascii="仿宋_GB2312" w:eastAsia="仿宋_GB2312"/>
          <w:sz w:val="32"/>
          <w:szCs w:val="32"/>
          <w:lang w:eastAsia="zh-CN"/>
        </w:rPr>
        <w:t>预决算无差异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sz w:val="32"/>
          <w:szCs w:val="32"/>
        </w:rPr>
        <w:t>公务接待费支出。</w:t>
      </w:r>
    </w:p>
    <w:p w14:paraId="6A869CC1">
      <w:pPr>
        <w:widowControl/>
        <w:spacing w:line="360" w:lineRule="auto"/>
        <w:ind w:firstLine="640" w:firstLineChars="200"/>
        <w:jc w:val="left"/>
        <w:outlineLvl w:val="1"/>
        <w:rPr>
          <w:rFonts w:ascii="黑体" w:eastAsia="黑体"/>
          <w:sz w:val="32"/>
          <w:szCs w:val="32"/>
        </w:rPr>
      </w:pPr>
      <w:r>
        <w:rPr>
          <w:rFonts w:ascii="黑体" w:eastAsia="黑体"/>
          <w:sz w:val="32"/>
          <w:szCs w:val="32"/>
        </w:rPr>
        <w:t>十、其他重要事项的情况说明</w:t>
      </w:r>
    </w:p>
    <w:p w14:paraId="0D634BDD">
      <w:pPr>
        <w:widowControl/>
        <w:spacing w:line="360" w:lineRule="auto"/>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7F8F3741">
      <w:pPr>
        <w:widowControl/>
        <w:spacing w:line="360" w:lineRule="auto"/>
        <w:ind w:firstLine="640" w:firstLineChars="200"/>
        <w:rPr>
          <w:rFonts w:ascii="仿宋_GB2312" w:eastAsia="仿宋_GB2312"/>
          <w:sz w:val="32"/>
          <w:szCs w:val="32"/>
        </w:rPr>
      </w:pPr>
      <w:r>
        <w:rPr>
          <w:rFonts w:ascii="仿宋_GB2312" w:eastAsia="仿宋_GB2312"/>
          <w:sz w:val="32"/>
          <w:szCs w:val="32"/>
        </w:rPr>
        <w:t>2025年度新疆维吾尔自治区自然资源信息中心（新疆维吾尔自治区自然资源档案馆）（事业单位）公用经费支出36.44万元，比上年减少11.67万元，下降24.26%，主要原因是：</w:t>
      </w:r>
      <w:r>
        <w:rPr>
          <w:rFonts w:hint="eastAsia" w:ascii="仿宋_GB2312" w:hAnsi="仿宋" w:eastAsia="仿宋_GB2312"/>
          <w:sz w:val="32"/>
          <w:szCs w:val="32"/>
        </w:rPr>
        <w:t>坚持厉行节约原则，公用经费支出有所压减。</w:t>
      </w:r>
    </w:p>
    <w:p w14:paraId="2C143A2E">
      <w:pPr>
        <w:widowControl/>
        <w:spacing w:line="360" w:lineRule="auto"/>
        <w:ind w:firstLine="640" w:firstLineChars="200"/>
        <w:jc w:val="left"/>
        <w:outlineLvl w:val="2"/>
        <w:rPr>
          <w:rFonts w:ascii="黑体" w:eastAsia="黑体"/>
          <w:sz w:val="32"/>
          <w:szCs w:val="32"/>
        </w:rPr>
      </w:pPr>
      <w:r>
        <w:rPr>
          <w:rFonts w:ascii="黑体" w:eastAsia="黑体"/>
          <w:sz w:val="32"/>
          <w:szCs w:val="32"/>
        </w:rPr>
        <w:t>（二）政府采购情况</w:t>
      </w:r>
    </w:p>
    <w:p w14:paraId="0279D265">
      <w:pPr>
        <w:widowControl/>
        <w:spacing w:line="360" w:lineRule="auto"/>
        <w:ind w:firstLine="640" w:firstLineChars="200"/>
        <w:rPr>
          <w:rFonts w:ascii="仿宋_GB2312" w:eastAsia="仿宋_GB2312"/>
          <w:sz w:val="32"/>
          <w:szCs w:val="32"/>
        </w:rPr>
      </w:pPr>
      <w:r>
        <w:rPr>
          <w:rFonts w:ascii="仿宋_GB2312" w:eastAsia="仿宋_GB2312"/>
          <w:sz w:val="32"/>
          <w:szCs w:val="32"/>
        </w:rPr>
        <w:t>2025年度政府采购支出总额2,832.50万元，其中：政府采购货物支出6.77万元、政府采购工程支出0.00万元、政府采购服务支出2,825.73万元。</w:t>
      </w:r>
    </w:p>
    <w:p w14:paraId="00C12391">
      <w:pPr>
        <w:widowControl/>
        <w:spacing w:line="360" w:lineRule="auto"/>
        <w:ind w:firstLine="640" w:firstLineChars="200"/>
        <w:rPr>
          <w:rFonts w:ascii="仿宋_GB2312" w:eastAsia="仿宋_GB2312"/>
          <w:sz w:val="32"/>
          <w:szCs w:val="32"/>
        </w:rPr>
      </w:pPr>
      <w:r>
        <w:rPr>
          <w:rFonts w:ascii="仿宋_GB2312" w:eastAsia="仿宋_GB2312"/>
          <w:sz w:val="32"/>
          <w:szCs w:val="32"/>
        </w:rPr>
        <w:t>授予中小企业合同金额2,832.50万元，占政府采购支出总额的100.00%，其中：授予小微企业合同金额1,106.76万元，占政府采购支出总额的39.07%。</w:t>
      </w:r>
    </w:p>
    <w:p w14:paraId="217548D7">
      <w:pPr>
        <w:widowControl/>
        <w:spacing w:line="360" w:lineRule="auto"/>
        <w:ind w:firstLine="640" w:firstLineChars="200"/>
        <w:jc w:val="left"/>
        <w:outlineLvl w:val="2"/>
        <w:rPr>
          <w:rFonts w:ascii="黑体" w:eastAsia="黑体"/>
          <w:sz w:val="32"/>
          <w:szCs w:val="32"/>
        </w:rPr>
      </w:pPr>
      <w:r>
        <w:rPr>
          <w:rFonts w:ascii="黑体" w:eastAsia="黑体"/>
          <w:sz w:val="32"/>
          <w:szCs w:val="32"/>
        </w:rPr>
        <w:t>（三）国有资产占用情况说明</w:t>
      </w:r>
    </w:p>
    <w:p w14:paraId="49C92C22">
      <w:pPr>
        <w:widowControl/>
        <w:spacing w:line="360" w:lineRule="auto"/>
        <w:ind w:firstLine="640" w:firstLineChars="200"/>
        <w:rPr>
          <w:rFonts w:ascii="仿宋_GB2312" w:eastAsia="仿宋_GB2312"/>
          <w:sz w:val="32"/>
          <w:szCs w:val="32"/>
        </w:rPr>
      </w:pPr>
      <w:r>
        <w:rPr>
          <w:rFonts w:ascii="仿宋_GB2312" w:eastAsia="仿宋_GB2312"/>
          <w:sz w:val="32"/>
          <w:szCs w:val="32"/>
        </w:rPr>
        <w:t>截至2025年12月31日，房屋1,285.30平方米，价值639.77万元。车辆3辆，价值77.02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hAnsi="仿宋" w:eastAsia="仿宋_GB2312"/>
          <w:sz w:val="32"/>
          <w:szCs w:val="32"/>
        </w:rPr>
        <w:t>一般公务用车</w:t>
      </w:r>
      <w:r>
        <w:rPr>
          <w:rFonts w:ascii="仿宋_GB2312" w:eastAsia="仿宋_GB2312"/>
          <w:sz w:val="32"/>
          <w:szCs w:val="32"/>
        </w:rPr>
        <w:t>;单价100万元（含）以上设备（不含车辆）9台（套）。</w:t>
      </w:r>
    </w:p>
    <w:p w14:paraId="25332535">
      <w:pPr>
        <w:widowControl/>
        <w:spacing w:line="360" w:lineRule="auto"/>
        <w:ind w:firstLine="640" w:firstLineChars="200"/>
        <w:jc w:val="left"/>
        <w:outlineLvl w:val="1"/>
        <w:rPr>
          <w:rFonts w:ascii="黑体" w:eastAsia="黑体"/>
          <w:sz w:val="32"/>
          <w:szCs w:val="32"/>
        </w:rPr>
      </w:pPr>
      <w:r>
        <w:rPr>
          <w:rFonts w:ascii="黑体" w:eastAsia="黑体"/>
          <w:sz w:val="32"/>
          <w:szCs w:val="32"/>
        </w:rPr>
        <w:t>十一、预算绩效的情况说明</w:t>
      </w:r>
    </w:p>
    <w:p w14:paraId="5E6AF9C2">
      <w:pPr>
        <w:widowControl/>
        <w:spacing w:line="360" w:lineRule="auto"/>
        <w:ind w:firstLine="640" w:firstLineChars="200"/>
        <w:rPr>
          <w:rFonts w:ascii="仿宋_GB2312" w:eastAsia="仿宋_GB2312"/>
          <w:sz w:val="32"/>
          <w:szCs w:val="32"/>
        </w:rPr>
      </w:pPr>
      <w:r>
        <w:rPr>
          <w:rFonts w:ascii="仿宋_GB2312" w:eastAsia="仿宋_GB2312"/>
          <w:sz w:val="32"/>
          <w:szCs w:val="32"/>
        </w:rPr>
        <w:t>根据预算绩效管理要求，本单位2025年度预算绩效评价项目</w:t>
      </w:r>
      <w:r>
        <w:rPr>
          <w:rFonts w:hint="eastAsia" w:ascii="仿宋_GB2312" w:eastAsia="仿宋_GB2312"/>
          <w:sz w:val="32"/>
          <w:szCs w:val="32"/>
        </w:rPr>
        <w:t>4</w:t>
      </w:r>
      <w:r>
        <w:rPr>
          <w:rFonts w:ascii="仿宋_GB2312" w:eastAsia="仿宋_GB2312"/>
          <w:sz w:val="32"/>
          <w:szCs w:val="32"/>
        </w:rPr>
        <w:t>个，全年预算数</w:t>
      </w:r>
      <w:r>
        <w:rPr>
          <w:rFonts w:hint="eastAsia" w:ascii="仿宋_GB2312" w:eastAsia="仿宋_GB2312"/>
          <w:sz w:val="32"/>
          <w:szCs w:val="32"/>
        </w:rPr>
        <w:t>4,472.13</w:t>
      </w:r>
      <w:r>
        <w:rPr>
          <w:rFonts w:ascii="仿宋_GB2312" w:eastAsia="仿宋_GB2312"/>
          <w:sz w:val="32"/>
          <w:szCs w:val="32"/>
        </w:rPr>
        <w:t>万元，全年执行数</w:t>
      </w:r>
      <w:r>
        <w:rPr>
          <w:rFonts w:hint="eastAsia" w:ascii="仿宋_GB2312" w:eastAsia="仿宋_GB2312"/>
          <w:sz w:val="32"/>
          <w:szCs w:val="32"/>
        </w:rPr>
        <w:t>3,600.66</w:t>
      </w:r>
      <w:r>
        <w:rPr>
          <w:rFonts w:ascii="仿宋_GB2312" w:eastAsia="仿宋_GB2312"/>
          <w:sz w:val="32"/>
          <w:szCs w:val="32"/>
        </w:rPr>
        <w:t>万元。预算绩效管理取得的成效：</w:t>
      </w:r>
      <w:r>
        <w:rPr>
          <w:rFonts w:hint="eastAsia" w:ascii="仿宋_GB2312" w:eastAsia="仿宋_GB2312"/>
          <w:sz w:val="32"/>
          <w:szCs w:val="32"/>
        </w:rPr>
        <w:t>一是2025年组织开展国土空间规划“一张图”和自治区农用地数字化动态监管平台建设。通过两大项目顺利开展，使信息化赋能自然资源高质量发展成果突出。有力支撑一屏通览、一屏统管等应用场景的建设，增强“一屏通览”展示功能，开展场景化应用改造。系统平台数据迁移、数据中台全量数据区数据迁移、各业务系统数据库及操作系统国产化适配均已达到80%以上，数据中台核心数据区数据库建设已达到60%。二是持续做好地质资料汇交管理，馆藏各类地质资料14,809档。强化地质资料汇交监管，新疆地质资料汇交率已达93.74%。三是开展实物地质资料钻孔岩心筛选审核验收入库工作。完成13,000余米岩心上架，进一步夯实实物地质资料资源基础，积极发挥岩心库功能，保障新一轮找矿战略突破行动实物地质资料成果。四是持续做好档案收集整理和查借阅工作。全年收集整理文书档案16,018件，专项资料3,713件。接收地质灾害危险性评估档案1,825件，矿山地质环境保护档案1,853件，清理1990年-2023年需清退档案1,011件1,024份。全年查借阅服务111人次895件。组织开展2025年度馆藏档案资料数字化扫描及信息采集项目，完成数字化扫描63,216件3,333,340页。五是持续做好厅本级各审批管理系统运维，深化自然资源网络安全保障。</w:t>
      </w:r>
      <w:bookmarkStart w:id="0" w:name="OLE_LINK5"/>
      <w:r>
        <w:rPr>
          <w:rFonts w:hint="eastAsia" w:ascii="仿宋_GB2312" w:eastAsia="仿宋_GB2312"/>
          <w:sz w:val="32"/>
          <w:szCs w:val="32"/>
        </w:rPr>
        <w:t>确保各项审批业务顺利推进。</w:t>
      </w:r>
      <w:bookmarkEnd w:id="0"/>
      <w:r>
        <w:rPr>
          <w:rFonts w:hint="eastAsia" w:ascii="仿宋_GB2312" w:eastAsia="仿宋_GB2312"/>
          <w:sz w:val="32"/>
          <w:szCs w:val="32"/>
        </w:rPr>
        <w:t>全年维护厅级、地州级综合业务管理系统350余次，CA统一认证平台300余次，即时通讯平台200余次，快速反应，主动跟踪，及时解决各业务系统出现的问题。积极做好厅门户网站及会议保障。坚持每日两次监测读网制度，全年一体化平台留言答复233次；厅门户网站增改栏目3个，审核上载信息2,781条，整改错敏信息1,327条和外链暗链1条；自然资源系统统一登录平台用户维护58人次，添加账号400次，制作地州县市Ukey350枚；核查违规线索18条。保障厅各类会议465场次。六是持续加强“两馆一园”安全运维，不断提高服务保障能力。根据各区域功能属性差异化管理，精准管控。做好展陈参观、活动开展及会议保障。</w:t>
      </w:r>
      <w:r>
        <w:rPr>
          <w:rFonts w:ascii="仿宋_GB2312" w:eastAsia="仿宋_GB2312"/>
          <w:sz w:val="32"/>
          <w:szCs w:val="32"/>
        </w:rPr>
        <w:t>发现的问题及原因：</w:t>
      </w:r>
      <w:r>
        <w:rPr>
          <w:rFonts w:hint="eastAsia" w:ascii="仿宋_GB2312" w:eastAsia="仿宋_GB2312"/>
          <w:sz w:val="32"/>
          <w:szCs w:val="32"/>
        </w:rPr>
        <w:t>对项目预算科目与绩效目标考核指标的含义理解还不够到位、精准，在具体执行时有一定的偏差</w:t>
      </w:r>
      <w:r>
        <w:rPr>
          <w:rFonts w:ascii="仿宋_GB2312" w:eastAsia="仿宋_GB2312"/>
          <w:sz w:val="32"/>
          <w:szCs w:val="32"/>
        </w:rPr>
        <w:t>。下一步改进措施：</w:t>
      </w:r>
      <w:r>
        <w:rPr>
          <w:rFonts w:hint="eastAsia" w:ascii="仿宋_GB2312" w:eastAsia="仿宋_GB2312"/>
          <w:sz w:val="32"/>
          <w:szCs w:val="32"/>
        </w:rPr>
        <w:t>需加大对预算编制人员的培训力度，在今后预算编制和绩效考核方面能做到精准，尽量避免执行不到位的现象</w:t>
      </w:r>
      <w:r>
        <w:rPr>
          <w:rFonts w:ascii="仿宋_GB2312" w:eastAsia="仿宋_GB2312"/>
          <w:sz w:val="32"/>
          <w:szCs w:val="32"/>
        </w:rPr>
        <w:t>。具体附项目支出绩效自评表。</w:t>
      </w:r>
    </w:p>
    <w:p w14:paraId="4A0AFF40">
      <w:pPr>
        <w:widowControl/>
        <w:spacing w:line="360" w:lineRule="auto"/>
        <w:ind w:firstLine="640" w:firstLineChars="200"/>
        <w:jc w:val="left"/>
        <w:outlineLvl w:val="1"/>
        <w:rPr>
          <w:rFonts w:ascii="黑体" w:eastAsia="黑体"/>
          <w:sz w:val="32"/>
          <w:szCs w:val="32"/>
        </w:rPr>
      </w:pPr>
      <w:r>
        <w:rPr>
          <w:rFonts w:ascii="黑体" w:eastAsia="黑体"/>
          <w:sz w:val="32"/>
          <w:szCs w:val="32"/>
        </w:rPr>
        <w:t>十二、其他需说明的事项</w:t>
      </w:r>
    </w:p>
    <w:p w14:paraId="305CB23E">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1.新疆维吾尔自治区农用地数字化动态监管平台项目为2025年年底追加财政项目，预算金额1,560.53万元，因资金指标2025年10月10日下达，截至2025年12月31日，执行数为736.07万元，项目资金670.35万元结转2026年继续开展实施</w:t>
      </w:r>
      <w:r>
        <w:rPr>
          <w:rFonts w:ascii="仿宋_GB2312" w:eastAsia="仿宋_GB2312"/>
          <w:sz w:val="32"/>
          <w:szCs w:val="32"/>
        </w:rPr>
        <w:t>。</w:t>
      </w:r>
      <w:bookmarkStart w:id="1" w:name="_GoBack"/>
      <w:bookmarkEnd w:id="1"/>
    </w:p>
    <w:p w14:paraId="32F1B686">
      <w:pPr>
        <w:pStyle w:val="3"/>
        <w:spacing w:line="360" w:lineRule="auto"/>
        <w:rPr>
          <w:rFonts w:eastAsia="仿宋_GB2312"/>
        </w:rPr>
      </w:pPr>
      <w:r>
        <w:rPr>
          <w:rFonts w:hint="eastAsia" w:ascii="仿宋_GB2312" w:eastAsia="仿宋_GB2312"/>
          <w:sz w:val="32"/>
          <w:szCs w:val="32"/>
        </w:rPr>
        <w:t xml:space="preserve">   2.关于拨付自治区自然资源厅2025年信息化项目经费预算的通知为2025年年底追加项目，因资金指标2025年12月19日下达，项目正在开展中，项目自评表中指标完成值为零。</w:t>
      </w:r>
    </w:p>
    <w:p w14:paraId="47CFD067">
      <w:pPr>
        <w:widowControl/>
        <w:spacing w:line="360" w:lineRule="auto"/>
      </w:pPr>
      <w:r>
        <w:rPr>
          <w:sz w:val="0"/>
          <w:szCs w:val="0"/>
        </w:rPr>
        <w:br w:type="page"/>
      </w:r>
    </w:p>
    <w:p w14:paraId="69C104D0">
      <w:pPr>
        <w:widowControl/>
        <w:spacing w:line="360" w:lineRule="auto"/>
        <w:jc w:val="center"/>
        <w:outlineLvl w:val="0"/>
        <w:rPr>
          <w:rFonts w:ascii="黑体" w:eastAsia="黑体"/>
          <w:sz w:val="32"/>
          <w:szCs w:val="32"/>
        </w:rPr>
      </w:pPr>
      <w:r>
        <w:rPr>
          <w:rFonts w:ascii="黑体" w:eastAsia="黑体"/>
          <w:sz w:val="32"/>
          <w:szCs w:val="32"/>
        </w:rPr>
        <w:t>第三部分 专业名词解释</w:t>
      </w:r>
    </w:p>
    <w:p w14:paraId="1296772A">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6DDC7C4A">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D8EF6C1">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12BE95B3">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A3CDECD">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3067B823">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769B6655">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2A920D42">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4C186195">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1809B1E0">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02F55767">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7D6E7016">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583C98AB">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57E7799E">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3E68CABC">
      <w:pPr>
        <w:widowControl/>
        <w:spacing w:line="36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62364A19">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6B5560D">
      <w:pPr>
        <w:widowControl/>
        <w:spacing w:line="36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165154C4">
      <w:pPr>
        <w:widowControl/>
        <w:spacing w:line="360" w:lineRule="auto"/>
      </w:pPr>
      <w:r>
        <w:rPr>
          <w:sz w:val="0"/>
          <w:szCs w:val="0"/>
        </w:rPr>
        <w:br w:type="page"/>
      </w:r>
    </w:p>
    <w:p w14:paraId="300DB9EA">
      <w:pPr>
        <w:widowControl/>
        <w:spacing w:line="360" w:lineRule="auto"/>
        <w:jc w:val="center"/>
        <w:outlineLvl w:val="0"/>
        <w:rPr>
          <w:rFonts w:ascii="黑体" w:eastAsia="黑体"/>
          <w:sz w:val="32"/>
          <w:szCs w:val="32"/>
        </w:rPr>
      </w:pPr>
      <w:r>
        <w:rPr>
          <w:rFonts w:ascii="黑体" w:eastAsia="黑体"/>
          <w:sz w:val="32"/>
          <w:szCs w:val="32"/>
        </w:rPr>
        <w:t>第四部分 部门决算报表（见附表）</w:t>
      </w:r>
    </w:p>
    <w:p w14:paraId="6FC77C8A">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47599725">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0289DF40">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5D1C4AC7">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39F4DFD9">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79658569">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64964F1D">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6C3ACE8B">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23969670">
      <w:pPr>
        <w:widowControl/>
        <w:spacing w:line="360" w:lineRule="auto"/>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6AED5F-0AE0-4F12-A4E2-819563738C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32B1CDE-0A17-4846-A049-34F97ACE0B3F}"/>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embedRegular r:id="rId3" w:fontKey="{F8D177E5-2689-411D-8097-8510952B459F}"/>
  </w:font>
  <w:font w:name="仿宋">
    <w:panose1 w:val="02010609060101010101"/>
    <w:charset w:val="86"/>
    <w:family w:val="modern"/>
    <w:pitch w:val="default"/>
    <w:sig w:usb0="800002BF" w:usb1="38CF7CFA" w:usb2="00000016" w:usb3="00000000" w:csb0="00040001" w:csb1="00000000"/>
    <w:embedRegular r:id="rId4" w:fontKey="{0D0ED2C0-1D6E-481D-89D4-66405A3C2AF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C2954"/>
    <w:multiLevelType w:val="singleLevel"/>
    <w:tmpl w:val="CBEC29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CCD"/>
    <w:rsid w:val="002B2CCD"/>
    <w:rsid w:val="003B19F5"/>
    <w:rsid w:val="006E1592"/>
    <w:rsid w:val="03526CE1"/>
    <w:rsid w:val="036D16C8"/>
    <w:rsid w:val="048863B7"/>
    <w:rsid w:val="04EA4C67"/>
    <w:rsid w:val="06121E5B"/>
    <w:rsid w:val="07B1744E"/>
    <w:rsid w:val="08990142"/>
    <w:rsid w:val="09976AEC"/>
    <w:rsid w:val="09DB0016"/>
    <w:rsid w:val="1054761F"/>
    <w:rsid w:val="117E767A"/>
    <w:rsid w:val="11890A60"/>
    <w:rsid w:val="11FA4E27"/>
    <w:rsid w:val="12455BFA"/>
    <w:rsid w:val="137A287E"/>
    <w:rsid w:val="1405657B"/>
    <w:rsid w:val="14500259"/>
    <w:rsid w:val="15290635"/>
    <w:rsid w:val="169B3D8F"/>
    <w:rsid w:val="17110D9E"/>
    <w:rsid w:val="19AC05C8"/>
    <w:rsid w:val="1B7D3223"/>
    <w:rsid w:val="1B8D5B30"/>
    <w:rsid w:val="1BAA7329"/>
    <w:rsid w:val="1C9F2DD3"/>
    <w:rsid w:val="1D6A1CE7"/>
    <w:rsid w:val="1E075560"/>
    <w:rsid w:val="1E1B1E7A"/>
    <w:rsid w:val="1E4543E5"/>
    <w:rsid w:val="1F530D14"/>
    <w:rsid w:val="23200D24"/>
    <w:rsid w:val="236B7387"/>
    <w:rsid w:val="242313D4"/>
    <w:rsid w:val="248931BC"/>
    <w:rsid w:val="24D74D01"/>
    <w:rsid w:val="25443F12"/>
    <w:rsid w:val="25FA2926"/>
    <w:rsid w:val="267D2BCE"/>
    <w:rsid w:val="2699013D"/>
    <w:rsid w:val="26F2546B"/>
    <w:rsid w:val="271B4669"/>
    <w:rsid w:val="272D1E5B"/>
    <w:rsid w:val="29B7478D"/>
    <w:rsid w:val="29BD7300"/>
    <w:rsid w:val="2B543682"/>
    <w:rsid w:val="2B7E24BA"/>
    <w:rsid w:val="2BF84E97"/>
    <w:rsid w:val="2C496ACA"/>
    <w:rsid w:val="2C6E4DC6"/>
    <w:rsid w:val="2D3D4179"/>
    <w:rsid w:val="2D662693"/>
    <w:rsid w:val="2ED65DEA"/>
    <w:rsid w:val="2FE44314"/>
    <w:rsid w:val="2FFA3C18"/>
    <w:rsid w:val="30E50AF2"/>
    <w:rsid w:val="30E63290"/>
    <w:rsid w:val="319A2B66"/>
    <w:rsid w:val="32220A05"/>
    <w:rsid w:val="3257339C"/>
    <w:rsid w:val="33F7713E"/>
    <w:rsid w:val="34B3016F"/>
    <w:rsid w:val="3599537C"/>
    <w:rsid w:val="37D72BB6"/>
    <w:rsid w:val="39283DB6"/>
    <w:rsid w:val="39B55A2B"/>
    <w:rsid w:val="39C8708F"/>
    <w:rsid w:val="3A971078"/>
    <w:rsid w:val="3AA04499"/>
    <w:rsid w:val="3B0B3F95"/>
    <w:rsid w:val="3BE92F86"/>
    <w:rsid w:val="3EEC3C0C"/>
    <w:rsid w:val="413761C2"/>
    <w:rsid w:val="41893C3D"/>
    <w:rsid w:val="42AA655F"/>
    <w:rsid w:val="42F15CCB"/>
    <w:rsid w:val="44177423"/>
    <w:rsid w:val="45422444"/>
    <w:rsid w:val="459D7124"/>
    <w:rsid w:val="4A5915C5"/>
    <w:rsid w:val="4BFC39B0"/>
    <w:rsid w:val="4D8036D1"/>
    <w:rsid w:val="4DEE3CFA"/>
    <w:rsid w:val="4E0F1AAC"/>
    <w:rsid w:val="51DD5FF3"/>
    <w:rsid w:val="51F77708"/>
    <w:rsid w:val="52461C19"/>
    <w:rsid w:val="52A9442A"/>
    <w:rsid w:val="53C152DB"/>
    <w:rsid w:val="5480402D"/>
    <w:rsid w:val="56F81207"/>
    <w:rsid w:val="57121126"/>
    <w:rsid w:val="57E30DBA"/>
    <w:rsid w:val="59733639"/>
    <w:rsid w:val="5A862A6C"/>
    <w:rsid w:val="5AE466B4"/>
    <w:rsid w:val="5D071705"/>
    <w:rsid w:val="5E8024A5"/>
    <w:rsid w:val="5FA770FB"/>
    <w:rsid w:val="60BF32B5"/>
    <w:rsid w:val="62CF4EDB"/>
    <w:rsid w:val="63444046"/>
    <w:rsid w:val="64B41D83"/>
    <w:rsid w:val="64F6505D"/>
    <w:rsid w:val="6610477E"/>
    <w:rsid w:val="67425DBA"/>
    <w:rsid w:val="687C4F8D"/>
    <w:rsid w:val="6B3E7099"/>
    <w:rsid w:val="6B7D3999"/>
    <w:rsid w:val="6CB975F9"/>
    <w:rsid w:val="6F5B65A5"/>
    <w:rsid w:val="6F707187"/>
    <w:rsid w:val="711C295B"/>
    <w:rsid w:val="73606672"/>
    <w:rsid w:val="74756026"/>
    <w:rsid w:val="773270B0"/>
    <w:rsid w:val="78331DF2"/>
    <w:rsid w:val="7A5C54DA"/>
    <w:rsid w:val="7B9E2994"/>
    <w:rsid w:val="7C521FCC"/>
    <w:rsid w:val="7C632467"/>
    <w:rsid w:val="7DB237D2"/>
    <w:rsid w:val="7EC85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等线 Light" w:hAnsi="等线 Light" w:eastAsia="等线 Light" w:cs="等线 Light"/>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pPr>
      <w:spacing w:before="61"/>
      <w:ind w:left="117"/>
    </w:pPr>
    <w:rPr>
      <w:szCs w:val="30"/>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heme="minorHAnsi" w:hAnsiTheme="minorHAnsi" w:eastAsiaTheme="minorEastAsia" w:cstheme="minorBidi"/>
      <w:sz w:val="18"/>
      <w:szCs w:val="18"/>
    </w:rPr>
  </w:style>
  <w:style w:type="character" w:customStyle="1" w:styleId="9">
    <w:name w:val="页脚 Char"/>
    <w:basedOn w:val="7"/>
    <w:link w:val="4"/>
    <w:qFormat/>
    <w:uiPriority w:val="0"/>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6968</Words>
  <Characters>7933</Characters>
  <Lines>59</Lines>
  <Paragraphs>16</Paragraphs>
  <TotalTime>42</TotalTime>
  <ScaleCrop>false</ScaleCrop>
  <LinksUpToDate>false</LinksUpToDate>
  <CharactersWithSpaces>7953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2026-08-10T04:14:00Z</dcterms:created>
  <dc:creator>Administrator</dc:creator>
  <cp:lastModifiedBy>蹁跹</cp:lastModifiedBy>
  <dcterms:modified xsi:type="dcterms:W3CDTF">2026-08-21T09:06:18Z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FBFCAC72209E4546BE1856FF0E4228C8</vt:lpwstr>
  </property>
  <property fmtid="{D5CDD505-2E9C-101B-9397-08002B2CF9AE}" pid="4" name="KSOTemplateDocerSaveRecord">
    <vt:lpwstr>eyJoZGlkIjoiNTBiYjFiYzY0OWM2ODlhYjA1NDAwODJkOGMwZGNkYTMiLCJ1c2VySWQiOiIxMTU3MzgyOTA5In0=</vt:lpwstr>
  </property>
</Properties>
</file>