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E34AC">
      <w:pPr>
        <w:widowControl/>
        <w:spacing w:before="0" w:beforeLines="0" w:beforeAutospacing="0" w:after="0" w:afterLines="0" w:afterAutospacing="0" w:line="240" w:lineRule="auto"/>
        <w:jc w:val="left"/>
        <w:rPr>
          <w:rFonts w:ascii="宋体" w:eastAsia="宋体"/>
          <w:sz w:val="32"/>
          <w:szCs w:val="32"/>
        </w:rPr>
      </w:pPr>
    </w:p>
    <w:p w14:paraId="6F02F350">
      <w:pPr>
        <w:widowControl/>
        <w:spacing w:before="0" w:beforeLines="0" w:beforeAutospacing="0" w:after="0" w:afterLines="0" w:afterAutospacing="0" w:line="240" w:lineRule="auto"/>
        <w:jc w:val="left"/>
        <w:rPr>
          <w:rFonts w:ascii="宋体" w:eastAsia="宋体"/>
          <w:sz w:val="44"/>
          <w:szCs w:val="44"/>
        </w:rPr>
      </w:pPr>
    </w:p>
    <w:p w14:paraId="6A35A957">
      <w:pPr>
        <w:widowControl/>
        <w:spacing w:before="0" w:beforeLines="0" w:beforeAutospacing="0" w:after="0" w:afterLines="0" w:afterAutospacing="0" w:line="240" w:lineRule="auto"/>
        <w:jc w:val="left"/>
        <w:rPr>
          <w:rFonts w:ascii="宋体" w:eastAsia="宋体"/>
          <w:sz w:val="44"/>
          <w:szCs w:val="44"/>
        </w:rPr>
      </w:pPr>
    </w:p>
    <w:p w14:paraId="7732CC83">
      <w:pPr>
        <w:widowControl/>
        <w:spacing w:before="0" w:beforeLines="0" w:beforeAutospacing="0" w:after="0" w:afterLines="0" w:afterAutospacing="0" w:line="240" w:lineRule="auto"/>
        <w:jc w:val="left"/>
        <w:rPr>
          <w:rFonts w:ascii="宋体" w:eastAsia="宋体"/>
          <w:sz w:val="44"/>
          <w:szCs w:val="44"/>
        </w:rPr>
      </w:pPr>
    </w:p>
    <w:p w14:paraId="5E1A7CF3">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新疆维吾尔自治区国土综合整治中心</w:t>
      </w:r>
    </w:p>
    <w:p w14:paraId="4AED1FC5">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10E3E88B">
      <w:pPr>
        <w:widowControl/>
      </w:pPr>
      <w:r>
        <w:rPr>
          <w:b w:val="0"/>
          <w:sz w:val="0"/>
          <w:szCs w:val="0"/>
        </w:rPr>
        <w:br w:type="page"/>
      </w:r>
    </w:p>
    <w:p w14:paraId="6B3AC983">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2D1956D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578D4CA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2A3E8E5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53683BB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73B7A5B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0B60B3F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0288E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1EDD0F5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0D4166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7269C4F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1BCE930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7F68D9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6D4A2EF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62647F0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55EB332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B0341A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4EFADC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54A8551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3310258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7B1FF1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2BB44CC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2210ECC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5734CC4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550C2EC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3BB6BBC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50C587C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23679D7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1D677C8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3B4C4F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0038070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7049C5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6BDD258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3268FA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3EE94D06">
      <w:pPr>
        <w:widowControl/>
      </w:pPr>
      <w:r>
        <w:rPr>
          <w:b w:val="0"/>
          <w:sz w:val="0"/>
          <w:szCs w:val="0"/>
        </w:rPr>
        <w:br w:type="page"/>
      </w:r>
    </w:p>
    <w:p w14:paraId="686A2FD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0247F7E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4A15FA7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国土空间生态修复战略规划研究编制、监测评估；承担耕地保护、耕地后备资源调查评价及开发利用；承担自然资源资产清查、核算及负债表编制、考核评价；承担建设项目节地标准及评价；开展国土综合整治等研究及信息化建设；开展国土空间生态修复技术研发、科技创新平台建设和对外交流合作等工作。</w:t>
      </w:r>
    </w:p>
    <w:p w14:paraId="0FA8787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596317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新疆维吾尔自治区国土综合整治中心无下属预算单位。</w:t>
      </w:r>
    </w:p>
    <w:p w14:paraId="221E8FC8">
      <w:pPr>
        <w:widowControl/>
      </w:pPr>
      <w:r>
        <w:rPr>
          <w:b w:val="0"/>
          <w:sz w:val="0"/>
          <w:szCs w:val="0"/>
        </w:rPr>
        <w:br w:type="page"/>
      </w:r>
    </w:p>
    <w:p w14:paraId="49B60095">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6D7CFB1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7E9B830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2025年度收入总计6,210.18万元，其中：本年收入合计5,321.78万元，使用非财政拨款结余（含专用结余）888.40万元，年初结转和结余0.00万元。</w:t>
      </w:r>
    </w:p>
    <w:p w14:paraId="01D2BA3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2025年度支出总计6,210.18万元，其中：本年支出合计6,210.18万元，结余分配0.00万元，年末结转和结余0.00万元。</w:t>
      </w:r>
    </w:p>
    <w:p w14:paraId="4CAF325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549.99万元，增长9.72%，主要原因是：本年调入2人及人事招考新入职人员6人，本年度安排新疆维吾尔自治区非农建设补充耕地储备库建设、核查、监管项目，自治区2025年度补充耕地资源调查评价试点项目，自治区2025年补充耕地项目工程复核项目。</w:t>
      </w:r>
    </w:p>
    <w:p w14:paraId="0DC72B5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615DD42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5,321.78万元，其中：财政拨款收入5,050.85万元,占94.91%；上级补助收入0.00万元,占0.00%；事业收入0.00万元，占0.00%；经营收入257.92万元,占4.85%；附属单位上缴收入0.00万元，占0.00%；其他收入13.01万元，占0.24%。</w:t>
      </w:r>
    </w:p>
    <w:p w14:paraId="49709A3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694B636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本年支出6,210.18万元，其中：基本支出2,009.39万元，占32.36%；项目支出3,942.87万元，占63.49%；上缴上级支出0.00万元，占0.00%；经营支出257.92万元，占4.15%；对附属单位补助支出0.00万元，占0.00%。</w:t>
      </w:r>
    </w:p>
    <w:p w14:paraId="2451896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09E4D54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5,050.85万元，其中：年初财政拨款结转和结余0.00万元，本年财政拨款收入5,050.85万元。财政拨款支出总计5,050.85万元，其中：年末财政拨款结转和结余0.00万元，本年财政拨款支出5,050.85万元。</w:t>
      </w:r>
    </w:p>
    <w:p w14:paraId="59C5C6E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1,338.43万元，增长36.05%，主要原因是：本年调入2人及人事招考新入职人员6人，本年度安排新疆维吾尔自治区非农建设补充耕地储备库建设、核查、监管项目，自治区2025年度补充耕地资源调查评价试点项目，自治区2025年补充耕地项目工程复核项目。与年初预算相比，年初预算数3,641.14万元，决算数5,050.85万元，预决算差异率38.72%，主要原因是：本年调入2人及人事招考新入职人员6人，</w:t>
      </w:r>
      <w:r>
        <w:rPr>
          <w:rFonts w:hint="eastAsia" w:ascii="仿宋_GB2312" w:eastAsia="仿宋_GB2312"/>
          <w:b w:val="0"/>
          <w:sz w:val="32"/>
          <w:szCs w:val="32"/>
          <w:lang w:val="en-US" w:eastAsia="zh-CN"/>
        </w:rPr>
        <w:t>年中追加</w:t>
      </w:r>
      <w:r>
        <w:rPr>
          <w:rFonts w:ascii="仿宋_GB2312" w:eastAsia="仿宋_GB2312"/>
          <w:b w:val="0"/>
          <w:sz w:val="32"/>
          <w:szCs w:val="32"/>
        </w:rPr>
        <w:t>新疆维吾尔自治区非农建设补充耕地储备库建设、核查、监管项目，自治区2025年度补充耕地资源调查评价试点项目，自治区2025年补充耕地项目工程复核项目。</w:t>
      </w:r>
    </w:p>
    <w:p w14:paraId="6343A62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6A8821B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单位日常运转、完成重点工作任务、推进事业发展需要等重点支出，体现在有关支出科目中。</w:t>
      </w:r>
    </w:p>
    <w:p w14:paraId="2C68EE4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自然资源海洋气象等支出（类）自然资源事务（款）自然资源利用与保护（项）的支出占本年财政拨款支出总额的比重最高，2025年度决算数为2,086.92万元，占比41.32%，主要用于国土整治与资源资产监测评价项目。</w:t>
      </w:r>
    </w:p>
    <w:p w14:paraId="35047103">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61AF149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3,784.89万元，占本年支出合计的60.95%。与上年相比，增加72.47万元，增长1.95%，主要原因是：本年调入2人及人事招考新入职人员6人。与年初预算相比，年初预算数3,641.14万元，决算数3,784.89万元，预决算差异率3.95%，主要原因是：本年调入2人及人事招考新入职人员6人，追加了政策性调资、2024年年度考核奖、驻村工作经费（为民办实事）、民族团结一家亲结对认亲交通费、职工基本医疗保险、2025年第二批驻村工作经费（为民办实事）、驻村工作队员南疆工作补贴、记实2025年职业年金单位缴费。</w:t>
      </w:r>
    </w:p>
    <w:p w14:paraId="68CFDDC2">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03266DF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1.社会保障和就业支出（类）185.97万元，占4.91%。</w:t>
      </w:r>
    </w:p>
    <w:p w14:paraId="082E2AE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2.卫生健康支出（类）93.32万元，占2.47%。</w:t>
      </w:r>
    </w:p>
    <w:p w14:paraId="36B8C2F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3.自然资源海洋气象等支出（类）3,438.01万元，占90.84%。</w:t>
      </w:r>
    </w:p>
    <w:p w14:paraId="5A0D6F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4.住房保障支出（类）67.60万元，占1.79%。</w:t>
      </w:r>
    </w:p>
    <w:p w14:paraId="26912E6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1727543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人力资源和社会保障管理事务（款）其他人力资源和社会保障管理事务支出（项）：支出决算数为8.00万元，比上年决算减少4.00万元，下降33.33%，主要原因是：新疆人才发展基金2025年度第二轮支持资金—天池英才引进计划项目资金减少。</w:t>
      </w:r>
    </w:p>
    <w:p w14:paraId="79A2599D">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2、社会保障和就业支出（类）行政事业单位养老支出（款）事业单位离退休（项）：支出决算数为32.83万元，比上年决算增加8.30万元，增长33.84%，主要原因是：</w:t>
      </w:r>
      <w:r>
        <w:rPr>
          <w:rFonts w:hint="eastAsia" w:ascii="仿宋_GB2312" w:eastAsia="仿宋_GB2312"/>
          <w:b w:val="0"/>
          <w:sz w:val="32"/>
          <w:szCs w:val="32"/>
          <w:lang w:val="en-US" w:eastAsia="zh-CN"/>
        </w:rPr>
        <w:t>本年</w:t>
      </w:r>
      <w:r>
        <w:rPr>
          <w:rFonts w:ascii="仿宋_GB2312" w:eastAsia="仿宋_GB2312"/>
          <w:b w:val="0"/>
          <w:sz w:val="32"/>
          <w:szCs w:val="32"/>
        </w:rPr>
        <w:t>人员退休，</w:t>
      </w:r>
      <w:r>
        <w:rPr>
          <w:rFonts w:hint="eastAsia" w:ascii="仿宋_GB2312" w:eastAsia="仿宋_GB2312"/>
          <w:b w:val="0"/>
          <w:sz w:val="32"/>
          <w:szCs w:val="32"/>
          <w:lang w:val="en-US" w:eastAsia="zh-CN"/>
        </w:rPr>
        <w:t>相关经费支出较上年增加。</w:t>
      </w:r>
    </w:p>
    <w:p w14:paraId="2123B12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基本养老保险缴费支出（项）：支出决算数为90.13万元，比上年决算增加3.48万元，增长4.02%，主要原因是：下半年调入2人及人事招考新入职人员6人，机关事业单位基本养老保险缴费支出增加。</w:t>
      </w:r>
    </w:p>
    <w:p w14:paraId="35A65BD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行政事业单位养老支出（款）机关事业单位职业年金缴费支出（项）：支出决算数为55.00万元，比上年决算增加40.09万元，增长268.88%，主要原因是：根据财政追加记实2025年职业年金单位缴费。</w:t>
      </w:r>
    </w:p>
    <w:p w14:paraId="052F0B2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事业单位医疗（项）：支出决算数为53.88万元，比上年决算增加8.93万元，增长19.87%，主要原因是：下半年调入2人及人事招考新入职人员6人，财政追加职工基本医疗保险事业单位医疗支出增加。</w:t>
      </w:r>
    </w:p>
    <w:p w14:paraId="6F38FCD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卫生健康支出（类）行政事业单位医疗（款）公务员医疗补助（项）：支出决算数为39.44万元，比上年决算增加1.53万元，增长4.04%，主要原因是：下半年调入2人及人事招考新入职人员6人，公务员医疗补助支出增加。</w:t>
      </w:r>
    </w:p>
    <w:p w14:paraId="3FF0121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自然资源海洋气象等支出（类）自然资源事务（款）自然资源利用与保护（项）：支出决算数为2,086.92万元，比上年决算减少57.80万元，下降2.69%，主要原因是：本年度通过项目招标询价，减少了委托业务费的支出。</w:t>
      </w:r>
    </w:p>
    <w:p w14:paraId="2D32799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8、自然资源海洋气象等支出（类）自然资源事务（款）自然资源社会公益服务（项）：支出决算数为570.00万元，比上年决算增加4.00万元，增长0.71%，主要原因是：经营项目技术服务费增加。</w:t>
      </w:r>
    </w:p>
    <w:p w14:paraId="16F85B6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自然资源海洋气象等支出（类）自然资源事务（款）事业运行（项）：支出决算数为781.10万元，比上年决算增加65.35万元，增长9.13%，主要原因是：下半年调入2人及人事招考新入职人员6人，事业运行支出增加。</w:t>
      </w:r>
    </w:p>
    <w:p w14:paraId="575919E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10、住房保障支出（类）住房改革支出（款）住房公积金（项）：支出决算数为67.60万元，比上年决算增加2.61万元，增长4.02%，主要原因是：下半年调入2人及人事招考新入职人员6人，住房公积金支出增加。</w:t>
      </w:r>
    </w:p>
    <w:p w14:paraId="3B98CBA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7BA54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1,119.97万元，其中：人员经费1,041.28万元，包括：基本工资、津贴补贴、奖金、绩效工资、机关事业单位基本养老保险缴费、职业年金缴费、职工基本医疗保险缴费、公务员医疗补助缴费、其他社会保障缴费、住房公积金、其他工资福利支出、退休费和其他对个人和家庭的补助。</w:t>
      </w:r>
    </w:p>
    <w:p w14:paraId="43AAB4A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公用经费78.69万元，包括：办公费、水费、电费、邮电费、取暖费、差旅费、培训费、公务接待费、工会经费、福利费、公务用车运行维护费和其他商品和服务支出。</w:t>
      </w:r>
    </w:p>
    <w:p w14:paraId="42BD320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2067FB0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单位日常运转、完成重点工作任务、推进事业发展需要等重点支出，体现在有关支出科目中。</w:t>
      </w:r>
    </w:p>
    <w:p w14:paraId="18F5084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2025年度政府性基金预算财政拨款收入总计1,265.96万元，其中：年初结转和结余0.00万元，本年收入1,265.96万元。政府性基金预算财政拨款支出总计1,265.96万元，其中：年末结转和结余0.00万元，本年支出1,265.96万元。</w:t>
      </w:r>
    </w:p>
    <w:p w14:paraId="7F759DF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1,265.96万元，增长100%，主要原因是：本年度财政追加安排新疆维吾尔自治区非农建设补充耕地储备库建设、核查、监管项目，自治区2025年度补充耕地资源调查评价试点项目，自治区2025年补充耕地项目工程复核项目。与年初预算相比，年初预算数0.00万元，决算数1,265.96万元，预决算差异率100%，主要原因是：本年度财政追加安排新疆维吾尔自治区非农建设补充耕地储备库建设、核查、监管项目，自治区2025年度补充耕地资源调查评价试点项目，自治区2025年补充耕地项目工程复核项目。</w:t>
      </w:r>
    </w:p>
    <w:p w14:paraId="004A6C4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政府性基金预算财政拨款本年支出1,265.96万元。具体情况如下：</w:t>
      </w:r>
    </w:p>
    <w:p w14:paraId="27A5647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自然资源海洋气象等支出（类）耕地保护考核奖惩基金支出（款）耕地保护（项）：支出决算数为1,265.96万元，比上年决算增加1,265.96万元，增长100.00%，主要原因是：本年度财政追加安排新疆维吾尔自治区非农建设补充耕地储备库建设、核查、监管项目，自治区2025年度补充耕地资源调查评价试点项目，自治区2025年补充耕地项目工程复核项目。</w:t>
      </w:r>
    </w:p>
    <w:p w14:paraId="7A8F367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0791FA3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6FBB745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20FC1E4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2025年度财政拨款“三公”经费支出6.72万元，比上年减少0.08万元，下降1.18%，主要原因是：严格遵守执行中央八项规定，控制“三公”经费支出。其中：因公出国（境）费用支出0.00万元,占0.00%，</w:t>
      </w:r>
      <w:r>
        <w:rPr>
          <w:rFonts w:ascii="仿宋_GB2312" w:eastAsia="仿宋_GB2312"/>
          <w:sz w:val="32"/>
          <w:szCs w:val="32"/>
          <w:lang w:eastAsia="zh-CN"/>
        </w:rPr>
        <w:t>比上年增加0.00万元，增长0.00%</w:t>
      </w:r>
      <w:r>
        <w:rPr>
          <w:rFonts w:ascii="仿宋_GB2312" w:eastAsia="仿宋_GB2312"/>
          <w:b w:val="0"/>
          <w:sz w:val="32"/>
          <w:szCs w:val="32"/>
        </w:rPr>
        <w:t>，主要原因是：我单位无因公出国（境）费；公务用车购置及运行维护费支出6.00万元，占89.29%，</w:t>
      </w:r>
      <w:r>
        <w:rPr>
          <w:rFonts w:ascii="仿宋_GB2312" w:eastAsia="仿宋_GB2312"/>
          <w:sz w:val="32"/>
          <w:szCs w:val="32"/>
          <w:lang w:eastAsia="zh-CN"/>
        </w:rPr>
        <w:t>比上年增加0.00万元，增长0.00%</w:t>
      </w:r>
      <w:r>
        <w:rPr>
          <w:rFonts w:ascii="仿宋_GB2312" w:eastAsia="仿宋_GB2312"/>
          <w:sz w:val="32"/>
          <w:szCs w:val="32"/>
        </w:rPr>
        <w:t>，</w:t>
      </w:r>
      <w:r>
        <w:rPr>
          <w:rFonts w:ascii="仿宋_GB2312" w:eastAsia="仿宋_GB2312"/>
          <w:b w:val="0"/>
          <w:sz w:val="32"/>
          <w:szCs w:val="32"/>
        </w:rPr>
        <w:t>主要原因是：</w:t>
      </w:r>
      <w:r>
        <w:rPr>
          <w:rFonts w:hint="eastAsia" w:ascii="仿宋_GB2312" w:eastAsia="仿宋_GB2312"/>
          <w:b w:val="0"/>
          <w:sz w:val="32"/>
          <w:szCs w:val="32"/>
          <w:lang w:val="en-US" w:eastAsia="zh-CN"/>
        </w:rPr>
        <w:t>较上年相比无变化</w:t>
      </w:r>
      <w:r>
        <w:rPr>
          <w:rFonts w:ascii="仿宋_GB2312" w:eastAsia="仿宋_GB2312"/>
          <w:b w:val="0"/>
          <w:sz w:val="32"/>
          <w:szCs w:val="32"/>
        </w:rPr>
        <w:t>；公务接待费支出0.72万元，占10.71%，比上年减少0.08万元，下降10.00%，主要原因是：严格遵守执行中央八项规定，控制公务接待费支出。</w:t>
      </w:r>
    </w:p>
    <w:p w14:paraId="6D85ED5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485AD60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因公出国（境）费用0.00万元，开支内容包括我单位无因公出国（境）费。单位全年安排的因公出国（境）团组0个，因公出国（境）0人次。</w:t>
      </w:r>
    </w:p>
    <w:p w14:paraId="6FDE2A2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6.00万元，其中：公务用车购置费0.00万元，公务用车运行维护费6.00万元。公务用车运行维护费开支内容包括燃料费、维修费、车辆过路费、保险费。公务用车购置数0辆，公务用车保有量5辆。国有资产占用情况中固定资产车辆5辆，与公务用车保有量差异原因是：固定资产车辆与公务用车保有量无差异。</w:t>
      </w:r>
    </w:p>
    <w:p w14:paraId="3BE8C8C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0.72万元，开支内容包括自然资源部咨询研究中心赴疆开展国有未利用地开发利用政策研究课题调研，自然资源部国土整治中心关于开展新疆集中垦造耕地布局与可行性研究课题调研，广东省土地开发整治中心/广东省城乡规划设计研究院科技集团股份有限公司赴疆学习调研，内蒙古自治区国土空间规划院调研学习权益管理技术服务相关工作，自然资源部国土整治中心关于开展集中垦造耕地布局与可行性研究调研，自然资源部国土整治中心赴疆调研</w:t>
      </w:r>
      <w:r>
        <w:rPr>
          <w:rFonts w:hint="eastAsia" w:ascii="仿宋_GB2312" w:eastAsia="仿宋_GB2312"/>
          <w:b w:val="0"/>
          <w:sz w:val="32"/>
          <w:szCs w:val="32"/>
          <w:lang w:val="en-US" w:eastAsia="zh-CN"/>
        </w:rPr>
        <w:t>产生的餐费</w:t>
      </w:r>
      <w:r>
        <w:rPr>
          <w:rFonts w:ascii="仿宋_GB2312" w:eastAsia="仿宋_GB2312"/>
          <w:b w:val="0"/>
          <w:sz w:val="32"/>
          <w:szCs w:val="32"/>
        </w:rPr>
        <w:t>。单位全年安排的国内公务接待6批次，46人次。</w:t>
      </w:r>
    </w:p>
    <w:p w14:paraId="622D597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6.80万元，决算数6.72万元，预决算差异率-1.18%，主要原因是：严格遵守执行中央八项规定，控制“三公”经费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6.00万元，决算数6.00万元，预决算差异率0.00%，主要原因是：预决算一致无差异；公务接待费全年预算数0.80万元，决算数0.72万元，预决算差异率-10.00%，主要原因是：严格遵守执行中央八项规定，控制公务接待费支出。</w:t>
      </w:r>
    </w:p>
    <w:p w14:paraId="7ADBCB1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573193B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5466E2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2025年度新疆维吾尔自治区国土综合整治中心（事业单位）公用经费支出78.69万元，比上年增加3.09万元，增长4.09%，主要原因是：本年调入2人及人事招考新入职人员6人，相应公用经费增加。</w:t>
      </w:r>
    </w:p>
    <w:p w14:paraId="0EF24C49">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39B8463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2025年度政府采购支出总额4,002.93万元，其中：政府采购货物支出174.57万元、政府采购工程支出0.00万元、政府采购服务支出3,828.37万元。</w:t>
      </w:r>
    </w:p>
    <w:p w14:paraId="32E73D8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授予中小企业合同金额181.74万元，占政府采购支出总额的4.54%，其中：授予小微企业合同金额181.74万元，占政府采购支出总额的4.54%。</w:t>
      </w:r>
    </w:p>
    <w:p w14:paraId="1164F9AC">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36A1DC3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201.94平方米，价值200.00万元。车辆5辆，价值265.72万元，其中：副部（省）级及以上领导用车0辆、主要负责人用车0辆、机要通信用车0辆、应急保障用车0辆、执法执勤用车0辆、特种专业技术用车0辆、离退休干部服务用车0辆、其他用车5辆，其他用车主要是：日常办公用车;单价100万元（含）以上设备（不含车辆）0台（套）。</w:t>
      </w:r>
    </w:p>
    <w:p w14:paraId="0DBF6C0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5467AE3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3个，全年预算数4,150万元，全年执行数3,804.25万元。预算绩效管理取得的成效：一是完善绩效管理工作机制，健全绩效管理工作领导小组，明确职责分工，形成主管领导亲自抓，各处室各负其责的良好局面，提高了绩效管理效率;二是抓好绩效目标编制，组织相关人员对绩效目标和各项指标逐一进行讨论分析，确保绩效目标编制的真实、合理、有效;三是探索绩效跟踪管理，加强过程管理，对绩效目标管理范畴的项目支出，采取季度报方式采集和分析项目的绩效运行信息，为年底的绩效自评奠定基础;四是深入开展绩效评价，组织相关人员对各处室提供的项目绩效自评报告进行审查、复核，提出整改意见，在此基础上形成自评报告。发现的问题及原因：一是预算执行不够均衡项目预算编制方法还不够科学不够细化，各部门的沟通不够充分，对未来事业的发展需求缺少足够详实的支出规划，考虑还不够深入，导致预算支出执行进度前低后高；二是资金绩效考核指标不够完善绩效考核指标的设定还不够准确，部分指标的设定缺乏数据支持和科学的分析测评，无法全面反映项目的真实绩效。下一步改进措施：进一步加强对绩效管理工作的组织领导，提高对预算绩效管理工作重要性的认识，总结经验查找问题，加大全局对全面实施预算绩效管理和绩效管理工作</w:t>
      </w:r>
      <w:bookmarkStart w:id="0" w:name="_GoBack"/>
      <w:bookmarkEnd w:id="0"/>
      <w:r>
        <w:rPr>
          <w:rFonts w:ascii="仿宋_GB2312" w:eastAsia="仿宋_GB2312"/>
          <w:b w:val="0"/>
          <w:sz w:val="32"/>
          <w:szCs w:val="32"/>
        </w:rPr>
        <w:t>的学习力度，让“花钱必问效，无效必问责”的理念深入工作每个环节。具体附项目支出绩效自评表</w:t>
      </w:r>
      <w:r>
        <w:rPr>
          <w:rFonts w:hint="eastAsia" w:ascii="仿宋_GB2312" w:eastAsia="仿宋_GB2312"/>
          <w:b w:val="0"/>
          <w:sz w:val="32"/>
          <w:szCs w:val="32"/>
          <w:lang w:val="en-US" w:eastAsia="zh-CN"/>
        </w:rPr>
        <w:t>及</w:t>
      </w:r>
      <w:r>
        <w:rPr>
          <w:rFonts w:hint="eastAsia" w:ascii="仿宋_GB2312" w:hAnsi="仿宋_GB2312" w:eastAsia="仿宋_GB2312" w:cs="仿宋_GB2312"/>
          <w:b w:val="0"/>
          <w:bCs w:val="0"/>
          <w:color w:val="000000"/>
          <w:kern w:val="0"/>
          <w:sz w:val="32"/>
          <w:szCs w:val="32"/>
          <w:highlight w:val="none"/>
          <w:lang w:val="en-US" w:eastAsia="zh-CN" w:bidi="ar"/>
        </w:rPr>
        <w:t>项目支出绩效评价</w:t>
      </w:r>
      <w:r>
        <w:rPr>
          <w:rFonts w:hint="eastAsia" w:ascii="仿宋_GB2312" w:eastAsia="仿宋_GB2312"/>
          <w:b w:val="0"/>
          <w:sz w:val="32"/>
          <w:szCs w:val="32"/>
          <w:lang w:val="en-US" w:eastAsia="zh-CN"/>
        </w:rPr>
        <w:t>报告</w:t>
      </w:r>
      <w:r>
        <w:rPr>
          <w:rFonts w:ascii="仿宋_GB2312" w:eastAsia="仿宋_GB2312"/>
          <w:b w:val="0"/>
          <w:sz w:val="32"/>
          <w:szCs w:val="32"/>
        </w:rPr>
        <w:t>。</w:t>
      </w:r>
    </w:p>
    <w:p w14:paraId="64D426E4">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1243E09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7FD27E6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3934F171">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50EC496B">
      <w:pPr>
        <w:widowControl/>
      </w:pPr>
      <w:r>
        <w:rPr>
          <w:b w:val="0"/>
          <w:sz w:val="0"/>
          <w:szCs w:val="0"/>
        </w:rPr>
        <w:br w:type="page"/>
      </w:r>
    </w:p>
    <w:p w14:paraId="2768447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CAB9EC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1D13BD9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639A739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058B186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3A1677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296A910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4691715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0C6D489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2EDC6CD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6303231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12268D2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6EE43EF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2412E7E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71792B9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59C77FE9">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3C4F57E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A16A8E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7B02007E">
      <w:pPr>
        <w:widowControl/>
      </w:pPr>
      <w:r>
        <w:rPr>
          <w:b w:val="0"/>
          <w:sz w:val="0"/>
          <w:szCs w:val="0"/>
        </w:rPr>
        <w:br w:type="page"/>
      </w:r>
    </w:p>
    <w:p w14:paraId="2F8CEDA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3AE47DD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AFA937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6F3F9E1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7F33D49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41FAD81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2985891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038793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9F89F7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5DBD418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01802C9E"/>
    <w:rsid w:val="167E32EF"/>
    <w:rsid w:val="17D60A23"/>
    <w:rsid w:val="207A299C"/>
    <w:rsid w:val="39BE5B37"/>
    <w:rsid w:val="3C4719E4"/>
    <w:rsid w:val="6D6261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7150</Words>
  <Characters>7978</Characters>
  <TotalTime>0</TotalTime>
  <ScaleCrop>false</ScaleCrop>
  <LinksUpToDate>false</LinksUpToDate>
  <CharactersWithSpaces>7985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2026-08-21T09:09:37Z</dcterms:created>
  <dc:creator>Administrator</dc:creator>
  <cp:lastModifiedBy>蹁跹</cp:lastModifiedBy>
  <dcterms:modified xsi:type="dcterms:W3CDTF">2026-08-21T09:55:19Z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eyJoZGlkIjoiNTBiYjFiYzY0OWM2ODlhYjA1NDAwODJkOGMwZGNkYTMiLCJ1c2VySWQiOiIxMTU3MzgyOTA5In0=</vt:lpwstr>
  </property>
  <property fmtid="{D5CDD505-2E9C-101B-9397-08002B2CF9AE}" pid="3" name="KSOProductBuildVer">
    <vt:lpwstr>2052-12.1.0.28043</vt:lpwstr>
  </property>
  <property fmtid="{D5CDD505-2E9C-101B-9397-08002B2CF9AE}" pid="4" name="ICV">
    <vt:lpwstr>985FECE303754FFBB6AC857C5C1CF6E5_12</vt:lpwstr>
  </property>
</Properties>
</file>