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040"/>
        <w:jc w:val="center"/>
        <w:rPr>
          <w:rFonts w:eastAsia="华文中宋"/>
          <w:b/>
          <w:kern w:val="0"/>
          <w:sz w:val="30"/>
          <w:szCs w:val="30"/>
        </w:rPr>
      </w:pPr>
    </w:p>
    <w:p>
      <w:pPr>
        <w:spacing w:line="540" w:lineRule="exact"/>
        <w:ind w:firstLine="1040"/>
        <w:jc w:val="center"/>
        <w:rPr>
          <w:rFonts w:eastAsia="华文中宋"/>
          <w:b/>
          <w:kern w:val="0"/>
          <w:sz w:val="30"/>
          <w:szCs w:val="30"/>
        </w:rPr>
      </w:pPr>
    </w:p>
    <w:p>
      <w:pPr>
        <w:spacing w:line="540" w:lineRule="exact"/>
        <w:ind w:firstLine="1040"/>
        <w:jc w:val="center"/>
        <w:rPr>
          <w:rFonts w:eastAsia="华文中宋"/>
          <w:b/>
          <w:kern w:val="0"/>
          <w:sz w:val="30"/>
          <w:szCs w:val="30"/>
        </w:rPr>
      </w:pPr>
    </w:p>
    <w:p>
      <w:pPr>
        <w:spacing w:line="560" w:lineRule="exact"/>
        <w:ind w:firstLine="602" w:firstLineChars="200"/>
        <w:jc w:val="center"/>
        <w:rPr>
          <w:rFonts w:ascii="仿宋" w:hAnsi="仿宋" w:eastAsia="仿宋" w:cs="仿宋"/>
          <w:b/>
          <w:kern w:val="0"/>
          <w:sz w:val="30"/>
          <w:szCs w:val="30"/>
        </w:rPr>
      </w:pPr>
    </w:p>
    <w:p>
      <w:pPr>
        <w:spacing w:line="560" w:lineRule="exact"/>
        <w:ind w:firstLine="723" w:firstLineChars="200"/>
        <w:jc w:val="center"/>
        <w:rPr>
          <w:rFonts w:ascii="方正小标宋_GBK" w:hAnsi="仿宋" w:eastAsia="方正小标宋_GBK" w:cs="仿宋"/>
          <w:b/>
          <w:kern w:val="0"/>
          <w:sz w:val="36"/>
          <w:szCs w:val="36"/>
        </w:rPr>
      </w:pPr>
      <w:r>
        <w:rPr>
          <w:rFonts w:hint="eastAsia" w:ascii="方正小标宋_GBK" w:hAnsi="仿宋" w:eastAsia="方正小标宋_GBK" w:cs="仿宋"/>
          <w:b/>
          <w:kern w:val="0"/>
          <w:sz w:val="36"/>
          <w:szCs w:val="36"/>
        </w:rPr>
        <w:t>《自治区自然资源规划监测、矿产资源开发利用与评估》项目绩效评价报告</w:t>
      </w:r>
    </w:p>
    <w:p>
      <w:pPr>
        <w:spacing w:line="540" w:lineRule="exact"/>
        <w:ind w:firstLine="964"/>
        <w:jc w:val="center"/>
        <w:rPr>
          <w:rFonts w:ascii="方正小标宋_GBK" w:eastAsia="方正小标宋_GBK"/>
          <w:kern w:val="0"/>
          <w:sz w:val="30"/>
          <w:szCs w:val="30"/>
        </w:rPr>
      </w:pPr>
    </w:p>
    <w:p>
      <w:pPr>
        <w:spacing w:line="540" w:lineRule="exact"/>
        <w:ind w:firstLine="1040"/>
        <w:jc w:val="center"/>
        <w:rPr>
          <w:rFonts w:ascii="方正小标宋_GBK" w:eastAsia="方正小标宋_GBK"/>
          <w:b/>
          <w:kern w:val="0"/>
          <w:sz w:val="30"/>
          <w:szCs w:val="30"/>
        </w:rPr>
      </w:pPr>
    </w:p>
    <w:p>
      <w:pPr>
        <w:spacing w:line="540" w:lineRule="exact"/>
        <w:ind w:firstLine="723"/>
        <w:jc w:val="center"/>
        <w:rPr>
          <w:rFonts w:eastAsia="仿宋_GB2312"/>
          <w:kern w:val="0"/>
          <w:sz w:val="30"/>
          <w:szCs w:val="30"/>
        </w:rPr>
      </w:pPr>
      <w:r>
        <w:rPr>
          <w:rFonts w:eastAsia="仿宋_GB2312"/>
          <w:kern w:val="0"/>
          <w:sz w:val="30"/>
          <w:szCs w:val="30"/>
        </w:rPr>
        <w:t>（202</w:t>
      </w:r>
      <w:r>
        <w:rPr>
          <w:rFonts w:hint="eastAsia" w:eastAsia="仿宋_GB2312"/>
          <w:kern w:val="0"/>
          <w:sz w:val="30"/>
          <w:szCs w:val="30"/>
          <w:lang w:val="en-US" w:eastAsia="zh-CN"/>
        </w:rPr>
        <w:t>5</w:t>
      </w:r>
      <w:r>
        <w:rPr>
          <w:rFonts w:eastAsia="仿宋_GB2312"/>
          <w:kern w:val="0"/>
          <w:sz w:val="30"/>
          <w:szCs w:val="30"/>
        </w:rPr>
        <w:t>年度）</w:t>
      </w:r>
    </w:p>
    <w:p>
      <w:pPr>
        <w:spacing w:line="540" w:lineRule="exact"/>
        <w:ind w:firstLine="602"/>
        <w:jc w:val="center"/>
        <w:rPr>
          <w:rFonts w:eastAsia="仿宋_GB2312"/>
          <w:kern w:val="0"/>
          <w:sz w:val="30"/>
          <w:szCs w:val="30"/>
        </w:rPr>
      </w:pPr>
    </w:p>
    <w:p>
      <w:pPr>
        <w:spacing w:line="540" w:lineRule="exact"/>
        <w:ind w:firstLine="602"/>
        <w:jc w:val="center"/>
        <w:rPr>
          <w:rFonts w:eastAsia="仿宋_GB2312"/>
          <w:kern w:val="0"/>
          <w:sz w:val="30"/>
          <w:szCs w:val="30"/>
        </w:rPr>
      </w:pPr>
    </w:p>
    <w:p>
      <w:pPr>
        <w:spacing w:line="540" w:lineRule="exact"/>
        <w:ind w:firstLine="602"/>
        <w:jc w:val="center"/>
        <w:rPr>
          <w:rFonts w:eastAsia="仿宋_GB2312"/>
          <w:kern w:val="0"/>
          <w:sz w:val="30"/>
          <w:szCs w:val="30"/>
        </w:rPr>
      </w:pPr>
    </w:p>
    <w:p>
      <w:pPr>
        <w:spacing w:line="540" w:lineRule="exact"/>
        <w:ind w:firstLine="602"/>
        <w:jc w:val="center"/>
        <w:rPr>
          <w:rFonts w:eastAsia="仿宋_GB2312"/>
          <w:kern w:val="0"/>
          <w:sz w:val="30"/>
          <w:szCs w:val="30"/>
        </w:rPr>
      </w:pPr>
    </w:p>
    <w:p>
      <w:pPr>
        <w:pStyle w:val="18"/>
        <w:ind w:firstLine="643"/>
        <w:rPr>
          <w:sz w:val="30"/>
          <w:szCs w:val="30"/>
        </w:rPr>
      </w:pPr>
    </w:p>
    <w:p>
      <w:pPr>
        <w:pStyle w:val="18"/>
        <w:ind w:firstLine="643"/>
        <w:rPr>
          <w:sz w:val="30"/>
          <w:szCs w:val="30"/>
        </w:rPr>
      </w:pPr>
    </w:p>
    <w:p>
      <w:pPr>
        <w:tabs>
          <w:tab w:val="left" w:pos="630"/>
        </w:tabs>
        <w:spacing w:line="700" w:lineRule="exact"/>
        <w:ind w:left="2436" w:leftChars="400" w:hanging="1596" w:hangingChars="532"/>
        <w:jc w:val="left"/>
        <w:rPr>
          <w:rFonts w:ascii="仿宋" w:hAnsi="仿宋" w:eastAsia="仿宋"/>
          <w:kern w:val="0"/>
          <w:sz w:val="30"/>
          <w:szCs w:val="30"/>
        </w:rPr>
      </w:pPr>
      <w:r>
        <w:rPr>
          <w:rFonts w:ascii="仿宋" w:hAnsi="仿宋" w:eastAsia="仿宋"/>
          <w:kern w:val="0"/>
          <w:sz w:val="30"/>
          <w:szCs w:val="30"/>
        </w:rPr>
        <w:t>项目名称：</w:t>
      </w:r>
      <w:r>
        <w:rPr>
          <w:rFonts w:hint="eastAsia" w:ascii="仿宋" w:hAnsi="仿宋" w:eastAsia="仿宋"/>
          <w:kern w:val="0"/>
          <w:sz w:val="30"/>
          <w:szCs w:val="30"/>
        </w:rPr>
        <w:t>自治区自然资源规划监测、矿产资源开发利用与评估项目</w:t>
      </w:r>
    </w:p>
    <w:p>
      <w:pPr>
        <w:spacing w:line="700" w:lineRule="exact"/>
        <w:ind w:firstLine="699" w:firstLineChars="233"/>
        <w:jc w:val="left"/>
        <w:rPr>
          <w:rFonts w:ascii="仿宋" w:hAnsi="仿宋" w:eastAsia="仿宋"/>
          <w:spacing w:val="-28"/>
          <w:kern w:val="0"/>
          <w:sz w:val="30"/>
          <w:szCs w:val="30"/>
        </w:rPr>
      </w:pPr>
      <w:r>
        <w:rPr>
          <w:rFonts w:ascii="仿宋" w:hAnsi="仿宋" w:eastAsia="仿宋"/>
          <w:kern w:val="0"/>
          <w:sz w:val="30"/>
          <w:szCs w:val="30"/>
        </w:rPr>
        <w:t>实施单位（公章）：</w:t>
      </w:r>
      <w:r>
        <w:rPr>
          <w:rFonts w:hint="eastAsia" w:ascii="仿宋" w:hAnsi="仿宋" w:eastAsia="仿宋"/>
          <w:spacing w:val="-28"/>
          <w:kern w:val="0"/>
          <w:sz w:val="30"/>
          <w:szCs w:val="30"/>
        </w:rPr>
        <w:t>自治区自然资源改革发展研究中心</w:t>
      </w:r>
    </w:p>
    <w:p>
      <w:pPr>
        <w:spacing w:line="700" w:lineRule="exact"/>
        <w:ind w:firstLine="699" w:firstLineChars="233"/>
        <w:jc w:val="left"/>
        <w:rPr>
          <w:rFonts w:ascii="仿宋" w:hAnsi="仿宋" w:eastAsia="仿宋"/>
          <w:kern w:val="0"/>
          <w:sz w:val="30"/>
          <w:szCs w:val="30"/>
        </w:rPr>
      </w:pPr>
      <w:r>
        <w:rPr>
          <w:rFonts w:ascii="仿宋" w:hAnsi="仿宋" w:eastAsia="仿宋"/>
          <w:kern w:val="0"/>
          <w:sz w:val="30"/>
          <w:szCs w:val="30"/>
        </w:rPr>
        <w:t>主管部门（公章）：</w:t>
      </w:r>
      <w:r>
        <w:rPr>
          <w:rFonts w:hint="eastAsia" w:ascii="仿宋" w:hAnsi="仿宋" w:eastAsia="仿宋"/>
          <w:kern w:val="0"/>
          <w:sz w:val="30"/>
          <w:szCs w:val="30"/>
        </w:rPr>
        <w:t>自治区自然资源厅</w:t>
      </w:r>
    </w:p>
    <w:p>
      <w:pPr>
        <w:spacing w:line="700" w:lineRule="exact"/>
        <w:ind w:firstLine="699" w:firstLineChars="233"/>
        <w:jc w:val="left"/>
        <w:rPr>
          <w:rFonts w:ascii="仿宋" w:hAnsi="仿宋" w:eastAsia="仿宋"/>
          <w:kern w:val="0"/>
          <w:sz w:val="30"/>
          <w:szCs w:val="30"/>
        </w:rPr>
      </w:pPr>
      <w:r>
        <w:rPr>
          <w:rFonts w:ascii="仿宋" w:hAnsi="仿宋" w:eastAsia="仿宋"/>
          <w:kern w:val="0"/>
          <w:sz w:val="30"/>
          <w:szCs w:val="30"/>
        </w:rPr>
        <w:t>项目负责人（签章）：</w:t>
      </w:r>
      <w:r>
        <w:rPr>
          <w:rFonts w:hint="eastAsia" w:ascii="仿宋" w:hAnsi="仿宋" w:eastAsia="仿宋"/>
          <w:kern w:val="0"/>
          <w:sz w:val="30"/>
          <w:szCs w:val="30"/>
        </w:rPr>
        <w:t>康国萍</w:t>
      </w:r>
    </w:p>
    <w:p>
      <w:pPr>
        <w:pStyle w:val="18"/>
        <w:spacing w:before="0" w:after="0" w:line="700" w:lineRule="exact"/>
        <w:ind w:firstLine="750" w:firstLineChars="250"/>
        <w:jc w:val="both"/>
        <w:rPr>
          <w:rFonts w:ascii="仿宋" w:hAnsi="仿宋" w:eastAsia="仿宋"/>
          <w:b w:val="0"/>
          <w:sz w:val="30"/>
          <w:szCs w:val="30"/>
        </w:rPr>
      </w:pPr>
      <w:r>
        <w:rPr>
          <w:rFonts w:hint="eastAsia" w:ascii="仿宋" w:hAnsi="仿宋" w:eastAsia="仿宋"/>
          <w:b w:val="0"/>
          <w:sz w:val="30"/>
          <w:szCs w:val="30"/>
        </w:rPr>
        <w:t>填报时间：</w:t>
      </w:r>
      <w:r>
        <w:rPr>
          <w:rStyle w:val="23"/>
          <w:rFonts w:hint="eastAsia" w:ascii="仿宋" w:hAnsi="仿宋" w:eastAsia="仿宋" w:cs="仿宋"/>
          <w:b w:val="0"/>
          <w:bCs w:val="0"/>
          <w:spacing w:val="-4"/>
          <w:sz w:val="30"/>
          <w:szCs w:val="30"/>
        </w:rPr>
        <w:t>202</w:t>
      </w:r>
      <w:r>
        <w:rPr>
          <w:rStyle w:val="23"/>
          <w:rFonts w:hint="eastAsia" w:ascii="仿宋" w:hAnsi="仿宋" w:eastAsia="仿宋" w:cs="仿宋"/>
          <w:b w:val="0"/>
          <w:bCs w:val="0"/>
          <w:spacing w:val="-4"/>
          <w:sz w:val="30"/>
          <w:szCs w:val="30"/>
          <w:lang w:val="en-US" w:eastAsia="zh-CN"/>
        </w:rPr>
        <w:t>6</w:t>
      </w:r>
      <w:r>
        <w:rPr>
          <w:rStyle w:val="23"/>
          <w:rFonts w:hint="eastAsia" w:ascii="仿宋" w:hAnsi="仿宋" w:eastAsia="仿宋" w:cs="仿宋"/>
          <w:b w:val="0"/>
          <w:bCs w:val="0"/>
          <w:spacing w:val="-4"/>
          <w:sz w:val="30"/>
          <w:szCs w:val="30"/>
        </w:rPr>
        <w:t>年 2月 27 日</w:t>
      </w:r>
    </w:p>
    <w:p>
      <w:pPr>
        <w:spacing w:line="540" w:lineRule="exact"/>
        <w:ind w:firstLine="624"/>
        <w:rPr>
          <w:rStyle w:val="23"/>
          <w:rFonts w:eastAsia="黑体"/>
          <w:b w:val="0"/>
          <w:spacing w:val="-4"/>
          <w:sz w:val="30"/>
          <w:szCs w:val="30"/>
        </w:rPr>
      </w:pPr>
    </w:p>
    <w:p>
      <w:pPr>
        <w:ind w:firstLine="600" w:firstLineChars="200"/>
        <w:rPr>
          <w:rFonts w:ascii="方正黑体_GBK" w:hAnsi="方正黑体_GBK" w:eastAsia="方正黑体_GBK" w:cs="方正黑体_GBK"/>
          <w:b/>
          <w:bCs/>
          <w:sz w:val="30"/>
          <w:szCs w:val="30"/>
        </w:rPr>
      </w:pPr>
      <w:r>
        <w:rPr>
          <w:rFonts w:hint="eastAsia" w:ascii="方正黑体_GBK" w:hAnsi="方正黑体_GBK" w:eastAsia="方正黑体_GBK" w:cs="方正黑体_GBK"/>
          <w:b/>
          <w:bCs/>
          <w:sz w:val="30"/>
          <w:szCs w:val="30"/>
        </w:rPr>
        <w:t>一、基本情况</w:t>
      </w:r>
    </w:p>
    <w:p>
      <w:pPr>
        <w:spacing w:line="600" w:lineRule="exact"/>
        <w:ind w:firstLine="562"/>
        <w:rPr>
          <w:rFonts w:ascii="仿宋" w:hAnsi="仿宋" w:eastAsia="仿宋" w:cs="仿宋"/>
          <w:b/>
          <w:bCs/>
          <w:kern w:val="0"/>
          <w:sz w:val="30"/>
          <w:szCs w:val="30"/>
        </w:rPr>
      </w:pPr>
      <w:r>
        <w:rPr>
          <w:rFonts w:hint="eastAsia" w:ascii="仿宋" w:hAnsi="仿宋" w:eastAsia="仿宋" w:cs="仿宋"/>
          <w:b/>
          <w:bCs/>
          <w:kern w:val="0"/>
          <w:sz w:val="30"/>
          <w:szCs w:val="30"/>
        </w:rPr>
        <w:t>（一）项目概况</w:t>
      </w:r>
    </w:p>
    <w:p>
      <w:pPr>
        <w:spacing w:line="600" w:lineRule="exact"/>
        <w:ind w:firstLine="562"/>
        <w:rPr>
          <w:rFonts w:ascii="仿宋" w:hAnsi="仿宋" w:eastAsia="仿宋" w:cs="仿宋"/>
          <w:b/>
          <w:bCs/>
          <w:kern w:val="0"/>
          <w:sz w:val="30"/>
          <w:szCs w:val="30"/>
        </w:rPr>
      </w:pPr>
      <w:r>
        <w:rPr>
          <w:rFonts w:hint="eastAsia" w:ascii="仿宋" w:hAnsi="仿宋" w:eastAsia="仿宋" w:cs="仿宋"/>
          <w:b/>
          <w:bCs/>
          <w:kern w:val="0"/>
          <w:sz w:val="30"/>
          <w:szCs w:val="30"/>
        </w:rPr>
        <w:t>1.项目背景</w:t>
      </w:r>
    </w:p>
    <w:p>
      <w:pPr>
        <w:pStyle w:val="53"/>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afterAutospacing="0" w:line="560" w:lineRule="exact"/>
        <w:ind w:firstLine="600" w:firstLineChars="200"/>
        <w:textAlignment w:val="auto"/>
        <w:rPr>
          <w:rFonts w:hint="eastAsia" w:ascii="仿宋" w:hAnsi="仿宋" w:eastAsia="仿宋"/>
          <w:kern w:val="2"/>
          <w:sz w:val="30"/>
          <w:szCs w:val="30"/>
          <w:lang w:val="en-US" w:eastAsia="zh-CN"/>
        </w:rPr>
      </w:pPr>
      <w:r>
        <w:rPr>
          <w:rFonts w:hint="eastAsia" w:ascii="仿宋" w:hAnsi="仿宋" w:eastAsia="仿宋"/>
          <w:sz w:val="30"/>
          <w:szCs w:val="30"/>
        </w:rPr>
        <w:t>（一）</w:t>
      </w:r>
      <w:r>
        <w:rPr>
          <w:rFonts w:hint="eastAsia" w:ascii="仿宋" w:hAnsi="仿宋" w:eastAsia="仿宋"/>
          <w:kern w:val="2"/>
          <w:sz w:val="30"/>
          <w:szCs w:val="30"/>
          <w:lang w:val="en-US" w:eastAsia="zh-CN"/>
        </w:rPr>
        <w:t>我国虽然拥有丰富的锂、钒、钛、铜等资源，但部分资源品位较低，开采成本较高，且资源分布不均、开发难度大，并且国际政治局势的不稳定导致矿产资源的进口受限，影响国内供应。随着新能源行业新兴产业的快速发展，对锂、钒、钛、铜等战略紧缺矿产资源的需求急剧增加，《</w:t>
      </w:r>
      <w:r>
        <w:rPr>
          <w:rFonts w:hint="eastAsia" w:ascii="仿宋" w:hAnsi="仿宋" w:eastAsia="仿宋" w:cs="宋体"/>
          <w:sz w:val="30"/>
          <w:szCs w:val="30"/>
          <w:lang w:val="en-US" w:eastAsia="zh-CN"/>
        </w:rPr>
        <w:t>新疆战略性、紧缺矿产资源基本形势、供给分析和应对措施研究—以锂、钒、钛、铜等矿产资源为例研究</w:t>
      </w:r>
      <w:r>
        <w:rPr>
          <w:rFonts w:hint="eastAsia" w:ascii="仿宋" w:hAnsi="仿宋" w:eastAsia="仿宋" w:cs="宋体"/>
          <w:sz w:val="30"/>
          <w:szCs w:val="30"/>
        </w:rPr>
        <w:t>项目</w:t>
      </w:r>
      <w:r>
        <w:rPr>
          <w:rFonts w:hint="eastAsia" w:ascii="仿宋" w:hAnsi="仿宋" w:eastAsia="仿宋" w:cs="宋体"/>
          <w:sz w:val="30"/>
          <w:szCs w:val="30"/>
          <w:lang w:eastAsia="zh-CN"/>
        </w:rPr>
        <w:t>》</w:t>
      </w:r>
      <w:r>
        <w:rPr>
          <w:rFonts w:hint="eastAsia" w:ascii="仿宋" w:hAnsi="仿宋" w:eastAsia="仿宋" w:cs="宋体"/>
          <w:sz w:val="30"/>
          <w:szCs w:val="30"/>
          <w:lang w:val="en-US" w:eastAsia="zh-CN"/>
        </w:rPr>
        <w:t>明确战略紧缺矿产资源的基本形式，通过详细研究新疆</w:t>
      </w:r>
      <w:r>
        <w:rPr>
          <w:rFonts w:hint="eastAsia" w:ascii="仿宋" w:hAnsi="仿宋" w:eastAsia="仿宋"/>
          <w:kern w:val="2"/>
          <w:sz w:val="30"/>
          <w:szCs w:val="30"/>
          <w:lang w:val="en-US" w:eastAsia="zh-CN"/>
        </w:rPr>
        <w:t>锂、钒、钛、铜等战略紧缺矿产资源的分布、储量、品位和应用领域，明确其在国民经济中的战略地位。全面剖析当前战略紧缺矿产资源的供给现状、存在的问题和潜在风险，为制定应对措施提供科学依据。</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hint="eastAsia" w:ascii="仿宋" w:hAnsi="仿宋" w:eastAsia="仿宋"/>
          <w:kern w:val="2"/>
          <w:sz w:val="30"/>
          <w:szCs w:val="30"/>
          <w:lang w:eastAsia="zh-CN"/>
        </w:rPr>
      </w:pPr>
      <w:r>
        <w:rPr>
          <w:rFonts w:hint="eastAsia" w:ascii="仿宋" w:hAnsi="仿宋" w:eastAsia="仿宋"/>
          <w:kern w:val="2"/>
          <w:sz w:val="30"/>
          <w:szCs w:val="30"/>
          <w:lang w:val="en-US" w:eastAsia="zh-CN"/>
        </w:rPr>
        <w:t>（二）</w:t>
      </w:r>
      <w:r>
        <w:rPr>
          <w:rFonts w:hint="eastAsia" w:ascii="仿宋" w:hAnsi="仿宋" w:eastAsia="仿宋"/>
          <w:kern w:val="2"/>
          <w:sz w:val="30"/>
          <w:szCs w:val="30"/>
        </w:rPr>
        <w:t>新疆地处亚欧大陆腹地，矿产资源种类丰富，是全国少数几个矿种比较齐全的省份之一。新疆已发现矿产资源种类153种，占全国已知矿种的88%，其中查明资源储量的矿种有103种，占全国查明资源储量矿种的63%。新疆的矿产资源不仅种类多，而且储量大、品质优，具有显著的资源优势。特别是石油、天然气、煤炭等能源矿产，以及铁、锰、铅锌、铜、锂、锑等优势金属矿产，在全国乃至全球都具有重要地位</w:t>
      </w:r>
      <w:r>
        <w:rPr>
          <w:rFonts w:hint="eastAsia" w:ascii="仿宋" w:hAnsi="仿宋" w:eastAsia="仿宋"/>
          <w:kern w:val="2"/>
          <w:sz w:val="30"/>
          <w:szCs w:val="30"/>
          <w:lang w:eastAsia="zh-CN"/>
        </w:rPr>
        <w:t>。新疆近年来加大了对战略性矿产资源的勘查力度，成功发现了一批大型、超大型矿床。同时，随着勘查成果的不断涌现，矿产资源的开采也呈现出蓬勃发展的态势。大型企业集团纷纷入驻新疆，投资建设矿山项目，推动了矿产资源的规模化、集约化开采。在矿产资源的加工利用方面，新疆也取得了显著成效。通过引进先进技术和设备，提高了矿产资源的加工利用水平，延长了产业链，增加了产品附加值。一些企业还注重资源的循环利用和废弃物的处理，推动了绿色矿业的发展。</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hint="eastAsia" w:ascii="仿宋" w:hAnsi="仿宋" w:eastAsia="仿宋"/>
          <w:kern w:val="2"/>
          <w:sz w:val="30"/>
          <w:szCs w:val="30"/>
        </w:rPr>
      </w:pPr>
      <w:r>
        <w:rPr>
          <w:rFonts w:hint="eastAsia" w:ascii="仿宋" w:hAnsi="仿宋" w:eastAsia="仿宋"/>
          <w:kern w:val="2"/>
          <w:sz w:val="30"/>
          <w:szCs w:val="30"/>
          <w:lang w:val="en-US" w:eastAsia="zh-CN"/>
        </w:rPr>
        <w:t>（三）</w:t>
      </w:r>
      <w:r>
        <w:rPr>
          <w:rFonts w:hint="eastAsia" w:ascii="仿宋" w:hAnsi="仿宋" w:eastAsia="仿宋"/>
          <w:kern w:val="2"/>
          <w:sz w:val="30"/>
          <w:szCs w:val="30"/>
        </w:rPr>
        <w:t>新疆作为中国重要的矿产资源富集区，拥有丰富的煤炭、有色金属、贵金属等多种矿产资源。然而，随着国内外市场环境的不断变化，矿产品价格波动频繁，对新疆的矿产资源开发和利用产生了深远影响。因此，对新疆重要矿产品的盈亏临界点进行分析，并研究矿产品价格波动的影响，对于制定科学合理的矿产资源开发策略、促进区域经济可持续发展具有重要意义。新疆重要矿产品盈亏临界点分析</w:t>
      </w:r>
      <w:r>
        <w:rPr>
          <w:rFonts w:hint="eastAsia" w:ascii="仿宋" w:hAnsi="仿宋" w:eastAsia="仿宋"/>
          <w:kern w:val="2"/>
          <w:sz w:val="30"/>
          <w:szCs w:val="30"/>
          <w:lang w:eastAsia="zh-CN"/>
        </w:rPr>
        <w:t>，</w:t>
      </w:r>
      <w:r>
        <w:rPr>
          <w:rFonts w:hint="eastAsia" w:ascii="仿宋" w:hAnsi="仿宋" w:eastAsia="仿宋"/>
          <w:kern w:val="2"/>
          <w:sz w:val="30"/>
          <w:szCs w:val="30"/>
        </w:rPr>
        <w:t>以煤炭为例，新疆煤炭资源丰富，但开采成本、运输成本等因素对盈亏临界点有重要影响。通过收集相关数据，可以计算出不同煤种在不同市场价格下的盈亏临界点销售量。同时，还需考虑环保政策、资源税等因素对成本的影响，以更准确地评估盈亏临界点。</w:t>
      </w:r>
    </w:p>
    <w:p>
      <w:pPr>
        <w:spacing w:line="560" w:lineRule="exact"/>
        <w:ind w:firstLine="600" w:firstLineChars="200"/>
        <w:rPr>
          <w:rFonts w:eastAsia="仿宋" w:cs="Times New Roman"/>
          <w:sz w:val="32"/>
          <w:szCs w:val="32"/>
        </w:rPr>
      </w:pPr>
      <w:r>
        <w:rPr>
          <w:rFonts w:hint="eastAsia" w:ascii="仿宋" w:hAnsi="仿宋" w:eastAsia="仿宋"/>
          <w:kern w:val="2"/>
          <w:sz w:val="30"/>
          <w:szCs w:val="30"/>
          <w:lang w:val="en-US" w:eastAsia="zh-CN"/>
        </w:rPr>
        <w:t>（四）</w:t>
      </w:r>
      <w:r>
        <w:rPr>
          <w:rFonts w:hint="eastAsia" w:ascii="仿宋" w:hAnsi="仿宋" w:eastAsia="仿宋" w:cs="仿宋"/>
          <w:sz w:val="32"/>
          <w:szCs w:val="32"/>
        </w:rPr>
        <w:t>2024</w:t>
      </w:r>
      <w:r>
        <w:rPr>
          <w:rFonts w:hint="eastAsia" w:eastAsia="仿宋" w:cs="Times New Roman"/>
          <w:sz w:val="32"/>
          <w:szCs w:val="32"/>
        </w:rPr>
        <w:t>年自治区党委一号文件“加快建设全国优质农牧产品重要供给基地”“科学有序开发后备耕地资源”以及自然资源部对改革完善耕地占补平衡制度，建立健全“长牙齿”硬措施，研究推动批量增加耕地重点工作安排，亟待开展新疆沙砾地等宜耕土地资源纳入耕地后备资源及开发研究。该研究</w:t>
      </w:r>
      <w:r>
        <w:rPr>
          <w:rFonts w:eastAsia="仿宋" w:cs="Times New Roman"/>
          <w:sz w:val="32"/>
          <w:szCs w:val="32"/>
        </w:rPr>
        <w:t>为全面摸清新疆补充耕地潜力状况，合理开发利用耕地</w:t>
      </w:r>
      <w:r>
        <w:rPr>
          <w:rFonts w:hint="eastAsia" w:eastAsia="仿宋" w:cs="Times New Roman"/>
          <w:sz w:val="32"/>
          <w:szCs w:val="32"/>
        </w:rPr>
        <w:t>后备</w:t>
      </w:r>
      <w:r>
        <w:rPr>
          <w:rFonts w:eastAsia="仿宋" w:cs="Times New Roman"/>
          <w:sz w:val="32"/>
          <w:szCs w:val="32"/>
        </w:rPr>
        <w:t>资源，实现耕地数量、质量、生态“三位一体”保护。充分利用“三调”</w:t>
      </w:r>
      <w:r>
        <w:rPr>
          <w:rFonts w:hint="eastAsia" w:eastAsia="仿宋" w:cs="Times New Roman"/>
          <w:sz w:val="32"/>
          <w:szCs w:val="32"/>
        </w:rPr>
        <w:t>、“三普”数据</w:t>
      </w:r>
      <w:r>
        <w:rPr>
          <w:rFonts w:eastAsia="仿宋" w:cs="Times New Roman"/>
          <w:sz w:val="32"/>
          <w:szCs w:val="32"/>
        </w:rPr>
        <w:t>，对</w:t>
      </w:r>
      <w:r>
        <w:rPr>
          <w:rFonts w:hint="eastAsia" w:eastAsia="仿宋" w:cs="Times New Roman"/>
          <w:sz w:val="32"/>
          <w:szCs w:val="32"/>
        </w:rPr>
        <w:t>沙砾地资源</w:t>
      </w:r>
      <w:r>
        <w:rPr>
          <w:rFonts w:eastAsia="仿宋" w:cs="Times New Roman"/>
          <w:sz w:val="32"/>
          <w:szCs w:val="32"/>
        </w:rPr>
        <w:t>进行全面分析，</w:t>
      </w:r>
      <w:r>
        <w:rPr>
          <w:rFonts w:hint="eastAsia" w:eastAsia="仿宋" w:cs="Times New Roman"/>
          <w:sz w:val="32"/>
          <w:szCs w:val="32"/>
        </w:rPr>
        <w:t>科学评价、</w:t>
      </w:r>
      <w:r>
        <w:rPr>
          <w:rFonts w:eastAsia="仿宋" w:cs="Times New Roman"/>
          <w:sz w:val="32"/>
          <w:szCs w:val="32"/>
        </w:rPr>
        <w:t>系统掌握</w:t>
      </w:r>
      <w:r>
        <w:rPr>
          <w:rFonts w:hint="eastAsia" w:eastAsia="仿宋" w:cs="Times New Roman"/>
          <w:sz w:val="32"/>
          <w:szCs w:val="32"/>
        </w:rPr>
        <w:t>宜耕沙砾地</w:t>
      </w:r>
      <w:r>
        <w:rPr>
          <w:rFonts w:eastAsia="仿宋" w:cs="Times New Roman"/>
          <w:sz w:val="32"/>
          <w:szCs w:val="32"/>
        </w:rPr>
        <w:t>资源数量与空间分布，</w:t>
      </w:r>
      <w:r>
        <w:rPr>
          <w:rFonts w:hint="eastAsia" w:eastAsia="仿宋" w:cs="Times New Roman"/>
          <w:sz w:val="32"/>
          <w:szCs w:val="32"/>
          <w:lang w:val="en-US" w:eastAsia="zh-CN"/>
        </w:rPr>
        <w:t>根据新疆</w:t>
      </w:r>
      <w:r>
        <w:rPr>
          <w:rFonts w:eastAsia="仿宋" w:cs="Times New Roman"/>
          <w:sz w:val="32"/>
          <w:szCs w:val="32"/>
        </w:rPr>
        <w:t>特殊的地理位置、地形条件和干旱气候，新疆</w:t>
      </w:r>
      <w:r>
        <w:rPr>
          <w:rFonts w:hint="eastAsia" w:eastAsia="仿宋" w:cs="Times New Roman"/>
          <w:sz w:val="32"/>
          <w:szCs w:val="32"/>
        </w:rPr>
        <w:t>沙砾地分布极为广泛</w:t>
      </w:r>
      <w:r>
        <w:rPr>
          <w:rFonts w:eastAsia="仿宋" w:cs="Times New Roman"/>
          <w:sz w:val="32"/>
          <w:szCs w:val="32"/>
        </w:rPr>
        <w:t>，</w:t>
      </w:r>
      <w:bookmarkStart w:id="0" w:name="_Hlk112412205"/>
      <w:r>
        <w:rPr>
          <w:rFonts w:hint="eastAsia" w:eastAsia="仿宋" w:cs="Times New Roman"/>
          <w:sz w:val="32"/>
          <w:szCs w:val="32"/>
        </w:rPr>
        <w:t>且光热资源丰富，农业生产潜力大。调查沙砾地资源数量、分布以及农业生产有利和不利条件，对沙砾地纳入耕地后备资源进行科学充分论证，为拓展耕地后备资源空间，光热水土资源协同利用，提高资源利用效率具有重大的意义</w:t>
      </w:r>
      <w:r>
        <w:rPr>
          <w:rFonts w:eastAsia="仿宋" w:cs="Times New Roman"/>
          <w:sz w:val="32"/>
          <w:szCs w:val="32"/>
        </w:rPr>
        <w:t>。</w:t>
      </w:r>
      <w:bookmarkEnd w:id="0"/>
    </w:p>
    <w:p>
      <w:pPr>
        <w:tabs>
          <w:tab w:val="left" w:pos="654"/>
          <w:tab w:val="left" w:pos="1734"/>
          <w:tab w:val="left" w:pos="2814"/>
          <w:tab w:val="left" w:pos="3894"/>
          <w:tab w:val="left" w:pos="5334"/>
          <w:tab w:val="left" w:pos="6414"/>
          <w:tab w:val="left" w:pos="7254"/>
          <w:tab w:val="left" w:pos="8574"/>
          <w:tab w:val="left" w:pos="9654"/>
        </w:tabs>
        <w:spacing w:line="520" w:lineRule="exact"/>
        <w:ind w:firstLine="600" w:firstLineChars="200"/>
        <w:rPr>
          <w:rFonts w:hint="eastAsia" w:ascii="仿宋" w:hAnsi="仿宋" w:eastAsia="仿宋"/>
          <w:kern w:val="2"/>
          <w:sz w:val="30"/>
          <w:szCs w:val="30"/>
        </w:rPr>
      </w:pPr>
      <w:r>
        <w:rPr>
          <w:rFonts w:hint="eastAsia" w:ascii="仿宋" w:hAnsi="仿宋" w:eastAsia="仿宋"/>
          <w:kern w:val="2"/>
          <w:sz w:val="30"/>
          <w:szCs w:val="30"/>
          <w:lang w:val="en-US" w:eastAsia="zh-CN"/>
        </w:rPr>
        <w:t>（五）</w:t>
      </w:r>
      <w:r>
        <w:rPr>
          <w:rFonts w:hint="eastAsia" w:ascii="仿宋" w:hAnsi="仿宋" w:eastAsia="仿宋"/>
          <w:kern w:val="2"/>
          <w:sz w:val="30"/>
          <w:szCs w:val="30"/>
        </w:rPr>
        <w:t>全面分析规划实施取得的成效，深入研究遇到的新情况、新问题和存在的薄弱环节，《自治区自然资源“十四五”规划》监测评估工作是坚持近期与远期相结合，定性与定量分析相结合，面上评估与重点抽查相结合，紧扣《自治区自然资源“十四五”规划》确定的年度发展目标和重点任务，注重评估责任单位履行职责的情况。评估工作是对新发展理念在自然资源管理中的落实、农村土地制度改革、矿业权改革等重大改革事项的进展情况、建设用地“双控”、集约节约用地等完成情况以及国土资源在助力脱贫攻坚工作中所起的作用进行了总结、评价，查找问题，并与自治区政府要求进行对比，提出意见建议，在此基础上撰写年度监测评估报告。自治区自然资源规划年度监测评估工作主要进行实地调查研究，充分听取专家和社会公众的意见，运用多种方法，实事求是，独立客观真实地进行评估，同时按规定做好资料、信息、数据的保密工作。启动《自治区自然资源“十四五”规划》实施年度监测评估是健全规划实施评估机制要求、适应规划管理发展的需要，是对《自治区自然资源“十四五”规划》的工作总结及经验做法及成效、也是找准工作薄弱环节手段，</w:t>
      </w:r>
      <w:r>
        <w:rPr>
          <w:rFonts w:hint="eastAsia" w:ascii="仿宋" w:hAnsi="仿宋" w:eastAsia="仿宋"/>
          <w:kern w:val="2"/>
          <w:sz w:val="30"/>
          <w:szCs w:val="30"/>
          <w:lang w:val="en-US" w:eastAsia="zh-CN"/>
        </w:rPr>
        <w:t>2025年</w:t>
      </w:r>
      <w:r>
        <w:rPr>
          <w:rFonts w:hint="eastAsia" w:ascii="仿宋" w:hAnsi="仿宋" w:eastAsia="仿宋"/>
          <w:kern w:val="2"/>
          <w:sz w:val="30"/>
          <w:szCs w:val="30"/>
        </w:rPr>
        <w:t>对自治区</w:t>
      </w:r>
      <w:r>
        <w:rPr>
          <w:rFonts w:hint="eastAsia" w:ascii="仿宋" w:hAnsi="仿宋" w:eastAsia="仿宋"/>
          <w:kern w:val="2"/>
          <w:sz w:val="30"/>
          <w:szCs w:val="30"/>
          <w:lang w:val="en-US" w:eastAsia="zh-CN"/>
        </w:rPr>
        <w:t>自然资源</w:t>
      </w:r>
      <w:r>
        <w:rPr>
          <w:rFonts w:hint="eastAsia" w:ascii="仿宋" w:hAnsi="仿宋" w:eastAsia="仿宋"/>
          <w:kern w:val="2"/>
          <w:sz w:val="30"/>
          <w:szCs w:val="30"/>
        </w:rPr>
        <w:t>“十</w:t>
      </w:r>
      <w:r>
        <w:rPr>
          <w:rFonts w:hint="eastAsia" w:ascii="仿宋" w:hAnsi="仿宋" w:eastAsia="仿宋"/>
          <w:kern w:val="2"/>
          <w:sz w:val="30"/>
          <w:szCs w:val="30"/>
          <w:lang w:val="en-US" w:eastAsia="zh-CN"/>
        </w:rPr>
        <w:t>四</w:t>
      </w:r>
      <w:r>
        <w:rPr>
          <w:rFonts w:hint="eastAsia" w:ascii="仿宋" w:hAnsi="仿宋" w:eastAsia="仿宋"/>
          <w:kern w:val="2"/>
          <w:sz w:val="30"/>
          <w:szCs w:val="30"/>
        </w:rPr>
        <w:t>五”规划实施评估情况进行总结评估，全面分析规划实施取得的成效，深入研究自然资源领域遇到的新情况、新问题和存在的薄弱环节等重点和难点问题，总结经验、分析不足、完善政策措施打下基础；同时，也是明确政策导向的重要前提，为自治区“十</w:t>
      </w:r>
      <w:r>
        <w:rPr>
          <w:rFonts w:hint="eastAsia" w:ascii="仿宋" w:hAnsi="仿宋" w:eastAsia="仿宋"/>
          <w:kern w:val="2"/>
          <w:sz w:val="30"/>
          <w:szCs w:val="30"/>
          <w:lang w:val="en-US" w:eastAsia="zh-CN"/>
        </w:rPr>
        <w:t>五</w:t>
      </w:r>
      <w:r>
        <w:rPr>
          <w:rFonts w:hint="eastAsia" w:ascii="仿宋" w:hAnsi="仿宋" w:eastAsia="仿宋"/>
          <w:kern w:val="2"/>
          <w:sz w:val="30"/>
          <w:szCs w:val="30"/>
        </w:rPr>
        <w:t>五”规划编制打下坚实基础。</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kern w:val="2"/>
          <w:sz w:val="30"/>
          <w:szCs w:val="30"/>
          <w:lang w:val="en-US" w:eastAsia="zh-CN"/>
        </w:rPr>
        <w:t>（六）</w:t>
      </w:r>
      <w:r>
        <w:rPr>
          <w:rFonts w:hint="eastAsia" w:ascii="仿宋" w:hAnsi="仿宋" w:eastAsia="仿宋" w:cs="宋体"/>
          <w:sz w:val="30"/>
          <w:szCs w:val="30"/>
        </w:rPr>
        <w:t>自然资源年报及综合评价分析是自然资源部门的一项长期性、基础性工作，其目标任务是为自然资源部履行好“两统一”职责提供统计数据支撑，为社会公众提供自然资源管理统计信息服务。展望未来，自然资源统计将走向法治化、标准化、规范化轨道，从提供统计数据服务向监测分析和应用研究转变，大数据和人工智能等新技术将会在自然资源统计中得到应用，“智慧统计”将成为统计工作新模式。各级自然资源管理部门要更加重视统计工作，进一步健全自然资源统计体系，</w:t>
      </w:r>
      <w:r>
        <w:rPr>
          <w:rFonts w:hint="eastAsia" w:ascii="仿宋" w:hAnsi="仿宋" w:eastAsia="仿宋" w:cs="宋体"/>
          <w:sz w:val="30"/>
          <w:szCs w:val="30"/>
          <w:lang w:val="en-US" w:eastAsia="zh-CN"/>
        </w:rPr>
        <w:t>通过</w:t>
      </w:r>
      <w:r>
        <w:rPr>
          <w:rFonts w:hint="eastAsia" w:ascii="仿宋" w:hAnsi="仿宋" w:eastAsia="仿宋" w:cs="宋体"/>
          <w:sz w:val="30"/>
          <w:szCs w:val="30"/>
        </w:rPr>
        <w:t>加强</w:t>
      </w:r>
      <w:r>
        <w:rPr>
          <w:rFonts w:hint="eastAsia" w:ascii="仿宋" w:hAnsi="仿宋" w:eastAsia="仿宋" w:cs="宋体"/>
          <w:sz w:val="30"/>
          <w:szCs w:val="30"/>
          <w:lang w:val="en-US" w:eastAsia="zh-CN"/>
        </w:rPr>
        <w:t>季报、年报等</w:t>
      </w:r>
      <w:r>
        <w:rPr>
          <w:rFonts w:hint="eastAsia" w:ascii="仿宋" w:hAnsi="仿宋" w:eastAsia="仿宋" w:cs="宋体"/>
          <w:sz w:val="30"/>
          <w:szCs w:val="30"/>
        </w:rPr>
        <w:t>统计分析和信息共享，促进自然资源统计工作迈上新台阶。</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1、自然资源统计将走向法治化轨道</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统计法治是国家法治的重要组成部分，是维护统计工作的根本保证，是实现依法行政的基本要求，是树立统计权威的现实路径。未来需进一步贯彻落实中央关于统计改革工作的决策部署，进一步加大统计法律法规学习力度。</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2、自然资源统计向标准化规范化迈进</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统计标准化是指在统计实践中，对重复性事物和概念，通过制定、发布和实施标准，达到统一、一致的统计最佳效益。统计标准化包括指标体系的标准化，分类标准化，基本术语标准化，编码标准化等内容。要制定自然资源统计的标准体系，对自然资源统计术语、统计指标、统计流程、统计分工、统计信息化、统计成果等进行标准化规范化管理，提高统计数据质量。</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3、大数据和人工智能等新技术在自然资源统计中将会得到应用</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自然资源大数据是自然资源信息结构化数据、半结构化数据和非结构化数据的集合，既包括自然资源信息化建设积累形成的自然资源结构化数据，也包括各种形式产生的自然资源信息文本、图片、各类报表、图像和音频、视频等非结构化数据，且更新频率及数据量快速递增和迭代。需要关注新资源、新技术、新业态，加快推动大数据、云计算、人工智能、区块链等现代信息技术与统计工作深度融合，建设“智慧统计”，提高统计工作准确性、时效性，及时准确掌握自然资源统计信息，提高统计成果的共享和应用能力。</w:t>
      </w:r>
    </w:p>
    <w:p>
      <w:pPr>
        <w:pStyle w:val="53"/>
        <w:numPr>
          <w:ilvl w:val="0"/>
          <w:numId w:val="1"/>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2" w:firstLineChars="200"/>
        <w:rPr>
          <w:rFonts w:hint="eastAsia" w:ascii="仿宋" w:hAnsi="仿宋" w:eastAsia="仿宋"/>
          <w:b/>
          <w:bCs/>
          <w:kern w:val="2"/>
          <w:sz w:val="30"/>
          <w:szCs w:val="30"/>
          <w:lang w:val="en-US" w:eastAsia="zh-CN"/>
        </w:rPr>
      </w:pPr>
      <w:r>
        <w:rPr>
          <w:rFonts w:hint="eastAsia" w:ascii="仿宋" w:hAnsi="仿宋" w:eastAsia="仿宋"/>
          <w:b/>
          <w:bCs/>
          <w:kern w:val="2"/>
          <w:sz w:val="30"/>
          <w:szCs w:val="30"/>
        </w:rPr>
        <w:t>项目工作主要内容</w:t>
      </w:r>
      <w:r>
        <w:rPr>
          <w:rFonts w:hint="eastAsia" w:ascii="仿宋" w:hAnsi="仿宋" w:eastAsia="仿宋"/>
          <w:b/>
          <w:bCs/>
          <w:kern w:val="2"/>
          <w:sz w:val="30"/>
          <w:szCs w:val="30"/>
          <w:lang w:val="en-US" w:eastAsia="zh-CN"/>
        </w:rPr>
        <w:t>及实施情况</w:t>
      </w:r>
    </w:p>
    <w:p>
      <w:pPr>
        <w:pStyle w:val="54"/>
        <w:spacing w:line="560" w:lineRule="exact"/>
        <w:ind w:firstLine="602" w:firstLineChars="200"/>
        <w:rPr>
          <w:rFonts w:hint="default" w:ascii="仿宋" w:hAnsi="仿宋" w:eastAsia="仿宋"/>
          <w:b/>
          <w:bCs/>
          <w:kern w:val="2"/>
          <w:sz w:val="30"/>
          <w:szCs w:val="30"/>
          <w:lang w:val="en-US" w:eastAsia="zh-CN"/>
        </w:rPr>
      </w:pPr>
      <w:r>
        <w:rPr>
          <w:rFonts w:hint="eastAsia" w:ascii="仿宋" w:hAnsi="仿宋" w:eastAsia="仿宋" w:cs="仿宋"/>
          <w:b/>
          <w:bCs/>
          <w:sz w:val="30"/>
          <w:szCs w:val="30"/>
        </w:rPr>
        <w:t>（1）主要内容</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hint="eastAsia" w:ascii="仿宋" w:hAnsi="仿宋" w:eastAsia="仿宋"/>
          <w:color w:val="auto"/>
          <w:kern w:val="2"/>
          <w:sz w:val="30"/>
          <w:szCs w:val="30"/>
          <w:lang w:val="en-US" w:eastAsia="zh-CN"/>
        </w:rPr>
      </w:pPr>
      <w:r>
        <w:rPr>
          <w:rFonts w:hint="eastAsia" w:ascii="仿宋" w:hAnsi="仿宋" w:eastAsia="仿宋"/>
          <w:color w:val="auto"/>
          <w:kern w:val="2"/>
          <w:sz w:val="30"/>
          <w:szCs w:val="30"/>
          <w:lang w:eastAsia="zh-CN"/>
        </w:rPr>
        <w:t>（</w:t>
      </w:r>
      <w:r>
        <w:rPr>
          <w:rFonts w:hint="eastAsia" w:ascii="仿宋" w:hAnsi="仿宋" w:eastAsia="仿宋"/>
          <w:color w:val="auto"/>
          <w:kern w:val="2"/>
          <w:sz w:val="30"/>
          <w:szCs w:val="30"/>
          <w:lang w:val="en-US" w:eastAsia="zh-CN"/>
        </w:rPr>
        <w:t>一）</w:t>
      </w:r>
      <w:r>
        <w:rPr>
          <w:rFonts w:hint="eastAsia" w:ascii="仿宋" w:hAnsi="仿宋" w:eastAsia="仿宋"/>
          <w:color w:val="auto"/>
          <w:kern w:val="2"/>
          <w:sz w:val="30"/>
          <w:szCs w:val="30"/>
        </w:rPr>
        <w:t>、</w:t>
      </w:r>
      <w:r>
        <w:rPr>
          <w:rFonts w:hint="eastAsia" w:ascii="仿宋" w:hAnsi="仿宋" w:eastAsia="仿宋"/>
          <w:color w:val="auto"/>
          <w:kern w:val="2"/>
          <w:sz w:val="30"/>
          <w:szCs w:val="30"/>
          <w:lang w:val="en-US" w:eastAsia="zh-CN"/>
        </w:rPr>
        <w:t>战略紧缺矿产资源基体形式</w:t>
      </w:r>
    </w:p>
    <w:p>
      <w:pPr>
        <w:widowControl w:val="0"/>
        <w:numPr>
          <w:ilvl w:val="0"/>
          <w:numId w:val="0"/>
        </w:numPr>
        <w:ind w:firstLine="600" w:firstLineChars="200"/>
        <w:jc w:val="both"/>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分析新疆锂矿资源的地理分布特点，主要集中在哪些地区，评估锂矿资源的总量、可采储量和可利用程度，探讨锂矿的成矿地质背景、成因类型及成矿规律；分析钒矿资源在新疆的具体分布情况，研究钒矿的成矿机制和模式；通过评估新疆钛矿资源的总量、分布及开发利用现状分析钛矿的主要成矿类型及成因预测钛矿资源的未来潜力及开发前景；掌握新疆铜矿资源的主要分布区域。评估铜矿资源的总量及可利用储量。分析铜矿资源的开发利用程度及存在的问题。</w:t>
      </w:r>
    </w:p>
    <w:p>
      <w:pPr>
        <w:widowControl w:val="0"/>
        <w:numPr>
          <w:ilvl w:val="0"/>
          <w:numId w:val="2"/>
        </w:numPr>
        <w:ind w:firstLine="600" w:firstLineChars="200"/>
        <w:jc w:val="both"/>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战略紧缺矿产资源供给分析</w:t>
      </w:r>
    </w:p>
    <w:p>
      <w:pPr>
        <w:widowControl w:val="0"/>
        <w:numPr>
          <w:ilvl w:val="0"/>
          <w:numId w:val="0"/>
        </w:numPr>
        <w:ind w:firstLine="600"/>
        <w:jc w:val="both"/>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通过国内供给分析新疆及全国锂、钒、钛、铜等矿产资源的生产能力和产量，评估国内供给的稳定性和可靠性。结合国际供给分析研究国际市场上锂、钒、钛、铜等矿产资源的供给情况，包括主要出口国、贸易流向及价格波动等。综合国内外供给情况，分析锂、钒、钛、铜等矿产资源的供需平衡状态及未来趋势。</w:t>
      </w:r>
    </w:p>
    <w:p>
      <w:pPr>
        <w:widowControl w:val="0"/>
        <w:numPr>
          <w:ilvl w:val="0"/>
          <w:numId w:val="0"/>
        </w:numPr>
        <w:ind w:firstLine="600" w:firstLineChars="200"/>
        <w:jc w:val="both"/>
        <w:rPr>
          <w:rFonts w:hint="default" w:ascii="仿宋" w:hAnsi="仿宋" w:eastAsia="仿宋"/>
          <w:kern w:val="2"/>
          <w:sz w:val="30"/>
          <w:szCs w:val="30"/>
          <w:lang w:val="en-US" w:eastAsia="zh-CN"/>
        </w:rPr>
      </w:pPr>
      <w:r>
        <w:rPr>
          <w:rFonts w:hint="eastAsia" w:ascii="仿宋" w:hAnsi="仿宋" w:eastAsia="仿宋"/>
          <w:kern w:val="2"/>
          <w:sz w:val="30"/>
          <w:szCs w:val="30"/>
          <w:lang w:val="en-US" w:eastAsia="zh-CN"/>
        </w:rPr>
        <w:t>3、应对措施</w:t>
      </w:r>
    </w:p>
    <w:p>
      <w:pPr>
        <w:ind w:firstLine="600" w:firstLineChars="200"/>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3.1加强勘查开发策略分析：针对锂、钒、钛、铜等紧缺矿产资源，提出具体的勘查开发策略，推动勘查与开采技术的创新，提高资源勘探的准确性和开采效率，加强共伴生矿、低品位矿的综合利用，提高资源回收率，包括勘查技术、开发模式、投资规模等。</w:t>
      </w:r>
    </w:p>
    <w:p>
      <w:pPr>
        <w:ind w:firstLine="600" w:firstLineChars="200"/>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3.2政策支持与引导：研究制定支持战略性紧缺矿产资源勘查开发的政策措施，出台支持矿产资源勘查、开采和储备的政策法规，为产业发展提供政策保障，稳定资源价格，防止市场大幅波动对产业造成冲击，建立国家层面的战略资源储备体系，确保在紧急情况下能够满足国内需求。</w:t>
      </w:r>
    </w:p>
    <w:p>
      <w:pPr>
        <w:widowControl w:val="0"/>
        <w:numPr>
          <w:ilvl w:val="0"/>
          <w:numId w:val="0"/>
        </w:numPr>
        <w:ind w:firstLine="600"/>
        <w:jc w:val="both"/>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3.3加强国际合作：探讨加强与国际矿业组织和国家的合作与交流，引进先进技术和管理经验，提升新疆战略性紧缺矿产资源的勘查开发水平。</w:t>
      </w:r>
    </w:p>
    <w:p>
      <w:pPr>
        <w:widowControl w:val="0"/>
        <w:numPr>
          <w:ilvl w:val="0"/>
          <w:numId w:val="0"/>
        </w:numPr>
        <w:ind w:firstLine="600"/>
        <w:jc w:val="both"/>
        <w:rPr>
          <w:rFonts w:hint="eastAsia" w:ascii="仿宋" w:hAnsi="仿宋" w:eastAsia="仿宋"/>
          <w:kern w:val="2"/>
          <w:sz w:val="30"/>
          <w:szCs w:val="30"/>
          <w:lang w:val="en-US" w:eastAsia="zh-CN"/>
        </w:rPr>
      </w:pPr>
      <w:r>
        <w:rPr>
          <w:rFonts w:hint="eastAsia" w:ascii="仿宋" w:hAnsi="仿宋" w:eastAsia="仿宋"/>
          <w:kern w:val="2"/>
          <w:sz w:val="30"/>
          <w:szCs w:val="30"/>
          <w:lang w:val="en-US" w:eastAsia="zh-CN"/>
        </w:rPr>
        <w:t>3.4绿色高质量开发：研究如何在保障资源供给的同时，实现绿色勘查开发，减少对环境的影响和破坏。</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kern w:val="2"/>
          <w:sz w:val="30"/>
          <w:szCs w:val="30"/>
          <w:lang w:val="en-US" w:eastAsia="zh-CN"/>
        </w:rPr>
        <w:t>（二）、</w:t>
      </w:r>
      <w:r>
        <w:rPr>
          <w:rFonts w:hint="eastAsia" w:ascii="仿宋" w:hAnsi="仿宋" w:eastAsia="仿宋" w:cs="Times New Roman"/>
          <w:kern w:val="2"/>
          <w:sz w:val="30"/>
          <w:szCs w:val="30"/>
          <w:lang w:val="zh-CN" w:eastAsia="zh-CN" w:bidi="ar-SA"/>
        </w:rPr>
        <w:t>随着</w:t>
      </w:r>
      <w:r>
        <w:rPr>
          <w:rFonts w:hint="eastAsia" w:ascii="仿宋" w:hAnsi="仿宋" w:eastAsia="仿宋" w:cs="Times New Roman"/>
          <w:kern w:val="2"/>
          <w:sz w:val="30"/>
          <w:szCs w:val="30"/>
          <w:lang w:val="en-US" w:eastAsia="zh-CN" w:bidi="ar-SA"/>
        </w:rPr>
        <w:t>新疆</w:t>
      </w:r>
      <w:r>
        <w:rPr>
          <w:rFonts w:hint="eastAsia" w:ascii="仿宋" w:hAnsi="仿宋" w:eastAsia="仿宋" w:cs="Times New Roman"/>
          <w:kern w:val="2"/>
          <w:sz w:val="30"/>
          <w:szCs w:val="30"/>
          <w:lang w:val="zh-CN" w:eastAsia="zh-CN" w:bidi="ar-SA"/>
        </w:rPr>
        <w:t>资源的逐渐枯竭，深部资源的勘查难度日益加大。这需要更高的技术和资金支持，以及更精细的勘查方法和手段，加大对勘查技术的研发投入，推动勘查技术创新和进步。通过采用新技术、新方法、新手段，提高深部资源的勘查成功率和资源利用效率。</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2.矿产资源开采和加工利用过程中产生的环境问题日益突出，环保监管力度不断加强。这对企业的环保设施和技术水平提出了更高的要求，也增加了企业的运营成本。加强环保意识和技术应用，推动矿产资源的绿色开采和加工利用。通过采用先进的环保技术和设备，减少对环境的影响和破坏，实现矿产资源的可持续利用。建立健全产业链协同机制，促进产业链上下游企业的合作与联动。通过信息共享、资源共享和优势互补等方式，提高产业链的整体竞争力和抗风险能力。</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en-US" w:eastAsia="zh-CN" w:bidi="ar-SA"/>
        </w:rPr>
        <w:t>3</w:t>
      </w:r>
      <w:r>
        <w:rPr>
          <w:rFonts w:hint="eastAsia" w:ascii="仿宋" w:hAnsi="仿宋" w:eastAsia="仿宋" w:cs="Times New Roman"/>
          <w:kern w:val="2"/>
          <w:sz w:val="30"/>
          <w:szCs w:val="30"/>
          <w:lang w:val="zh-CN" w:eastAsia="zh-CN" w:bidi="ar-SA"/>
        </w:rPr>
        <w:t>.矿产资源作为大宗商品，其价格受国际市场波动的影响较大。国际市场的变化可能导致矿产资源的供需失衡和价格波动，对产业链的稳定发展带来挑战。</w:t>
      </w:r>
      <w:r>
        <w:rPr>
          <w:rFonts w:hint="eastAsia" w:ascii="仿宋" w:hAnsi="仿宋" w:eastAsia="仿宋" w:cs="Times New Roman"/>
          <w:kern w:val="2"/>
          <w:sz w:val="30"/>
          <w:szCs w:val="30"/>
          <w:lang w:val="en-US" w:eastAsia="zh-CN" w:bidi="ar-SA"/>
        </w:rPr>
        <w:t>新疆应</w:t>
      </w:r>
      <w:r>
        <w:rPr>
          <w:rFonts w:hint="eastAsia" w:ascii="仿宋" w:hAnsi="仿宋" w:eastAsia="仿宋" w:cs="Times New Roman"/>
          <w:kern w:val="2"/>
          <w:sz w:val="30"/>
          <w:szCs w:val="30"/>
          <w:lang w:val="zh-CN" w:eastAsia="zh-CN" w:bidi="ar-SA"/>
        </w:rPr>
        <w:t>积极与国际市场接轨，拓展矿产资源的国际市场销售渠道。通过加强与国际矿业企业的合作与交流，引进国外先进技术和管理经验，提高新疆矿产资源的国际竞争力。</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en-US" w:eastAsia="zh-CN" w:bidi="ar-SA"/>
        </w:rPr>
        <w:t>4、</w:t>
      </w:r>
      <w:r>
        <w:rPr>
          <w:rFonts w:hint="eastAsia" w:ascii="仿宋" w:hAnsi="仿宋" w:eastAsia="仿宋" w:cs="Times New Roman"/>
          <w:kern w:val="2"/>
          <w:sz w:val="30"/>
          <w:szCs w:val="30"/>
          <w:lang w:val="zh-CN" w:eastAsia="zh-CN" w:bidi="ar-SA"/>
        </w:rPr>
        <w:t>虽然新疆在矿产资源的勘查、开采和加工利用方面取得了一定进展，但产业链各环节之间的协同性仍有待加强。目前，新疆正在通过政策引导和市场机制，推动产业链上下游企业的合作与联动，提高产业链的整体竞争力。政府应加大对矿产资源产业链发展的政策支持力度，完善相关政策法规体系。通过税收优惠、财政补贴、金融支持等方式，降低企业运营成本和提高企业盈利能力，推动矿产资源产业链的持续健康发展。</w:t>
      </w:r>
    </w:p>
    <w:p>
      <w:pPr>
        <w:spacing w:line="560" w:lineRule="exact"/>
        <w:ind w:firstLine="600" w:firstLineChars="200"/>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zh-CN" w:eastAsia="zh-CN" w:bidi="ar-SA"/>
        </w:rPr>
        <w:t>（</w:t>
      </w:r>
      <w:r>
        <w:rPr>
          <w:rFonts w:hint="eastAsia" w:ascii="仿宋" w:hAnsi="仿宋" w:eastAsia="仿宋" w:cs="Times New Roman"/>
          <w:kern w:val="2"/>
          <w:sz w:val="30"/>
          <w:szCs w:val="30"/>
          <w:lang w:val="en-US" w:eastAsia="zh-CN" w:bidi="ar-SA"/>
        </w:rPr>
        <w:t>三）、</w:t>
      </w:r>
      <w:r>
        <w:rPr>
          <w:rFonts w:hint="eastAsia" w:ascii="仿宋" w:hAnsi="仿宋" w:eastAsia="仿宋" w:cs="Times New Roman"/>
          <w:kern w:val="2"/>
          <w:sz w:val="30"/>
          <w:szCs w:val="30"/>
          <w:lang w:val="zh-CN" w:eastAsia="zh-CN" w:bidi="ar-SA"/>
        </w:rPr>
        <w:t>矿产品价格波动的原因</w:t>
      </w:r>
      <w:r>
        <w:rPr>
          <w:rFonts w:hint="eastAsia" w:ascii="仿宋" w:hAnsi="仿宋" w:eastAsia="仿宋" w:cs="Times New Roman"/>
          <w:kern w:val="2"/>
          <w:sz w:val="30"/>
          <w:szCs w:val="30"/>
          <w:lang w:val="en-US" w:eastAsia="zh-CN" w:bidi="ar-SA"/>
        </w:rPr>
        <w:t xml:space="preserve"> </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en-US" w:eastAsia="zh-CN" w:bidi="ar-SA"/>
        </w:rPr>
        <w:t>1、</w:t>
      </w:r>
      <w:r>
        <w:rPr>
          <w:rFonts w:hint="eastAsia" w:ascii="仿宋" w:hAnsi="仿宋" w:eastAsia="仿宋" w:cs="Times New Roman"/>
          <w:kern w:val="2"/>
          <w:sz w:val="30"/>
          <w:szCs w:val="30"/>
          <w:lang w:val="zh-CN" w:eastAsia="zh-CN" w:bidi="ar-SA"/>
        </w:rPr>
        <w:t>矿产品价格波动受多种因素影响，包括供需关系、政策法规、国际贸易环境、技术进步等。供需关系是影响矿产品价格波动的最直接因素，而政策法规的调整、国际贸易环境的变化等也会对矿产品价格产生重要影响。</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en-US" w:eastAsia="zh-CN" w:bidi="ar-SA"/>
        </w:rPr>
        <w:t>2.</w:t>
      </w:r>
      <w:r>
        <w:rPr>
          <w:rFonts w:hint="eastAsia" w:ascii="仿宋" w:hAnsi="仿宋" w:eastAsia="仿宋" w:cs="Times New Roman"/>
          <w:kern w:val="2"/>
          <w:sz w:val="30"/>
          <w:szCs w:val="30"/>
          <w:lang w:val="zh-CN" w:eastAsia="zh-CN" w:bidi="ar-SA"/>
        </w:rPr>
        <w:t>矿产品价格波动对新疆矿产资源开发的影响</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（1）对企业经营的影响</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矿产品价格波动直接影响企业的盈利能力和经营状况。价格上涨时，企业利润增加，有利于扩大生产规模和加大技术投入；而价格下跌时，企业面临盈利压力，可能减少生产或甚至停产。</w:t>
      </w:r>
    </w:p>
    <w:p>
      <w:pPr>
        <w:numPr>
          <w:ilvl w:val="0"/>
          <w:numId w:val="3"/>
        </w:num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对产业链的影响</w:t>
      </w:r>
    </w:p>
    <w:p>
      <w:pPr>
        <w:numPr>
          <w:ilvl w:val="0"/>
          <w:numId w:val="0"/>
        </w:num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矿产品价格波动还会对上下游产业链产生影响。价格上涨时，下游企业成本增加，可能推动产品价格上涨；而价格下跌时，下游企业成本降低，有利于扩大市场需求。</w:t>
      </w:r>
    </w:p>
    <w:p>
      <w:pPr>
        <w:numPr>
          <w:ilvl w:val="0"/>
          <w:numId w:val="4"/>
        </w:num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对区域经济的影响</w:t>
      </w:r>
    </w:p>
    <w:p>
      <w:pPr>
        <w:spacing w:line="560" w:lineRule="exact"/>
        <w:ind w:firstLine="600" w:firstLineChars="200"/>
        <w:rPr>
          <w:rFonts w:hint="eastAsia" w:ascii="仿宋" w:hAnsi="仿宋" w:eastAsia="仿宋" w:cs="Times New Roman"/>
          <w:kern w:val="2"/>
          <w:sz w:val="30"/>
          <w:szCs w:val="30"/>
          <w:lang w:val="zh-CN" w:eastAsia="zh-CN" w:bidi="ar-SA"/>
        </w:rPr>
      </w:pPr>
      <w:r>
        <w:rPr>
          <w:rFonts w:hint="eastAsia" w:ascii="仿宋" w:hAnsi="仿宋" w:eastAsia="仿宋" w:cs="Times New Roman"/>
          <w:kern w:val="2"/>
          <w:sz w:val="30"/>
          <w:szCs w:val="30"/>
          <w:lang w:val="zh-CN" w:eastAsia="zh-CN" w:bidi="ar-SA"/>
        </w:rPr>
        <w:t>新疆作为矿产资源大省，矿产品价格波动对区域经济具有重要影响。价格上涨有利于增加地方财政收入和促进就业；而价格下跌则可能导致财政收入减少和失业率上升。</w:t>
      </w:r>
    </w:p>
    <w:p>
      <w:pPr>
        <w:spacing w:line="560" w:lineRule="exact"/>
        <w:ind w:firstLine="600" w:firstLineChars="200"/>
        <w:rPr>
          <w:rFonts w:hint="eastAsia" w:ascii="仿宋" w:hAnsi="仿宋" w:eastAsia="仿宋"/>
          <w:color w:val="auto"/>
          <w:kern w:val="2"/>
          <w:sz w:val="30"/>
          <w:szCs w:val="30"/>
        </w:rPr>
      </w:pPr>
      <w:r>
        <w:rPr>
          <w:rFonts w:hint="eastAsia" w:ascii="仿宋" w:hAnsi="仿宋" w:eastAsia="仿宋" w:cs="Times New Roman"/>
          <w:kern w:val="2"/>
          <w:sz w:val="30"/>
          <w:szCs w:val="30"/>
          <w:lang w:val="zh-CN" w:eastAsia="zh-CN" w:bidi="ar-SA"/>
        </w:rPr>
        <w:t>（</w:t>
      </w:r>
      <w:r>
        <w:rPr>
          <w:rFonts w:hint="eastAsia" w:ascii="仿宋" w:hAnsi="仿宋" w:eastAsia="仿宋" w:cs="Times New Roman"/>
          <w:kern w:val="2"/>
          <w:sz w:val="30"/>
          <w:szCs w:val="30"/>
          <w:lang w:val="en-US" w:eastAsia="zh-CN" w:bidi="ar-SA"/>
        </w:rPr>
        <w:t>四）、</w:t>
      </w:r>
      <w:r>
        <w:rPr>
          <w:rFonts w:hint="eastAsia" w:eastAsia="仿宋" w:cs="Times New Roman"/>
          <w:sz w:val="30"/>
          <w:szCs w:val="30"/>
        </w:rPr>
        <w:t>基于第三次全国国土调查、第三次全国土壤普查等工作，分析沙砾地数量、分布和利用条件，摸清沙砾地资源状况。开展地形地貌、气候、水资源、土壤等自然资源条件以及灌排、区位等生产条件调查，逐图斑摸清沙砾地的土壤、立地条件与开发潜力，确定宜耕沙砾地资源。基于大食物观，开展宜耕沙砾地农业适宜性评价，明确沙砾地资源利用方向。</w:t>
      </w:r>
    </w:p>
    <w:p>
      <w:pPr>
        <w:spacing w:line="560" w:lineRule="exact"/>
        <w:ind w:firstLine="600" w:firstLineChars="200"/>
        <w:rPr>
          <w:rFonts w:eastAsia="仿宋" w:cs="Times New Roman"/>
          <w:sz w:val="30"/>
          <w:szCs w:val="30"/>
        </w:rPr>
      </w:pPr>
      <w:r>
        <w:rPr>
          <w:rFonts w:hint="eastAsia" w:eastAsia="仿宋" w:cs="Times New Roman"/>
          <w:sz w:val="30"/>
          <w:szCs w:val="30"/>
        </w:rPr>
        <w:t>1.沙砾地</w:t>
      </w:r>
      <w:r>
        <w:rPr>
          <w:rFonts w:eastAsia="仿宋" w:cs="Times New Roman"/>
          <w:sz w:val="30"/>
          <w:szCs w:val="30"/>
        </w:rPr>
        <w:t>开发利用形势分析</w:t>
      </w:r>
    </w:p>
    <w:p>
      <w:pPr>
        <w:spacing w:line="560" w:lineRule="exact"/>
        <w:ind w:firstLine="600" w:firstLineChars="200"/>
        <w:rPr>
          <w:rFonts w:eastAsia="仿宋" w:cs="Times New Roman"/>
          <w:sz w:val="30"/>
          <w:szCs w:val="30"/>
        </w:rPr>
      </w:pPr>
      <w:r>
        <w:rPr>
          <w:rFonts w:eastAsia="仿宋" w:cs="Times New Roman"/>
          <w:sz w:val="30"/>
          <w:szCs w:val="30"/>
        </w:rPr>
        <w:t>从总体上分析新疆不同生态区</w:t>
      </w:r>
      <w:r>
        <w:rPr>
          <w:rFonts w:hint="eastAsia" w:eastAsia="仿宋" w:cs="Times New Roman"/>
          <w:sz w:val="30"/>
          <w:szCs w:val="30"/>
        </w:rPr>
        <w:t>沙砾地</w:t>
      </w:r>
      <w:r>
        <w:rPr>
          <w:rFonts w:eastAsia="仿宋" w:cs="Times New Roman"/>
          <w:sz w:val="30"/>
          <w:szCs w:val="30"/>
        </w:rPr>
        <w:t>开发利用现状、面临的形势和需求，已有的经验和存在的问题，明确开发利用的方向。</w:t>
      </w:r>
    </w:p>
    <w:p>
      <w:pPr>
        <w:spacing w:line="560" w:lineRule="exact"/>
        <w:ind w:firstLine="600" w:firstLineChars="200"/>
        <w:rPr>
          <w:rFonts w:eastAsia="仿宋" w:cs="Times New Roman"/>
          <w:sz w:val="30"/>
          <w:szCs w:val="30"/>
        </w:rPr>
      </w:pPr>
      <w:r>
        <w:rPr>
          <w:rFonts w:hint="eastAsia" w:eastAsia="仿宋" w:cs="Times New Roman"/>
          <w:sz w:val="30"/>
          <w:szCs w:val="30"/>
        </w:rPr>
        <w:t>2．沙砾地纳入耕地后备资源论证</w:t>
      </w:r>
    </w:p>
    <w:p>
      <w:pPr>
        <w:spacing w:line="560" w:lineRule="exact"/>
        <w:ind w:firstLine="600" w:firstLineChars="200"/>
        <w:rPr>
          <w:rFonts w:eastAsia="仿宋" w:cs="Times New Roman"/>
          <w:sz w:val="30"/>
          <w:szCs w:val="30"/>
        </w:rPr>
      </w:pPr>
      <w:r>
        <w:rPr>
          <w:rFonts w:eastAsia="仿宋" w:cs="Times New Roman"/>
          <w:sz w:val="30"/>
          <w:szCs w:val="30"/>
        </w:rPr>
        <w:t>在</w:t>
      </w:r>
      <w:r>
        <w:rPr>
          <w:rFonts w:hint="eastAsia" w:eastAsia="仿宋" w:cs="Times New Roman"/>
          <w:sz w:val="30"/>
          <w:szCs w:val="30"/>
        </w:rPr>
        <w:t>沙砾地调查</w:t>
      </w:r>
      <w:r>
        <w:rPr>
          <w:rFonts w:eastAsia="仿宋" w:cs="Times New Roman"/>
          <w:sz w:val="30"/>
          <w:szCs w:val="30"/>
        </w:rPr>
        <w:t>、</w:t>
      </w:r>
      <w:r>
        <w:rPr>
          <w:rFonts w:hint="eastAsia" w:eastAsia="仿宋" w:cs="Times New Roman"/>
          <w:sz w:val="30"/>
          <w:szCs w:val="30"/>
        </w:rPr>
        <w:t>宜耕性</w:t>
      </w:r>
      <w:r>
        <w:rPr>
          <w:rFonts w:eastAsia="仿宋" w:cs="Times New Roman"/>
          <w:sz w:val="30"/>
          <w:szCs w:val="30"/>
        </w:rPr>
        <w:t>评价与生态环境影响分析的基础上，掌握</w:t>
      </w:r>
      <w:r>
        <w:rPr>
          <w:rFonts w:hint="eastAsia" w:eastAsia="仿宋" w:cs="Times New Roman"/>
          <w:sz w:val="30"/>
          <w:szCs w:val="30"/>
        </w:rPr>
        <w:t>宜耕沙砾地</w:t>
      </w:r>
      <w:r>
        <w:rPr>
          <w:rFonts w:eastAsia="仿宋" w:cs="Times New Roman"/>
          <w:sz w:val="30"/>
          <w:szCs w:val="30"/>
        </w:rPr>
        <w:t>的数量、质量与空间分布</w:t>
      </w:r>
      <w:r>
        <w:rPr>
          <w:rFonts w:hint="eastAsia" w:eastAsia="仿宋" w:cs="Times New Roman"/>
          <w:sz w:val="30"/>
          <w:szCs w:val="30"/>
        </w:rPr>
        <w:t>，重点分析沙砾地利用的光热、土壤以及水资源状况，充分论证沙砾地纳入耕地后备资源的可行性</w:t>
      </w:r>
      <w:r>
        <w:rPr>
          <w:rFonts w:eastAsia="仿宋" w:cs="Times New Roman"/>
          <w:sz w:val="30"/>
          <w:szCs w:val="30"/>
        </w:rPr>
        <w:t>。</w:t>
      </w:r>
    </w:p>
    <w:p>
      <w:pPr>
        <w:spacing w:line="560" w:lineRule="exact"/>
        <w:ind w:firstLine="600" w:firstLineChars="200"/>
        <w:rPr>
          <w:rFonts w:hint="eastAsia" w:eastAsia="仿宋" w:cs="Times New Roman"/>
          <w:sz w:val="30"/>
          <w:szCs w:val="30"/>
        </w:rPr>
      </w:pPr>
      <w:r>
        <w:rPr>
          <w:rFonts w:hint="eastAsia" w:eastAsia="仿宋" w:cs="Times New Roman"/>
          <w:sz w:val="30"/>
          <w:szCs w:val="30"/>
          <w:lang w:val="en-US" w:eastAsia="zh-CN"/>
        </w:rPr>
        <w:t>3</w:t>
      </w:r>
      <w:r>
        <w:rPr>
          <w:rFonts w:hint="eastAsia" w:eastAsia="仿宋" w:cs="Times New Roman"/>
          <w:sz w:val="30"/>
          <w:szCs w:val="30"/>
        </w:rPr>
        <w:t>.大食物观下的沙砾地农业适宜性评价</w:t>
      </w:r>
    </w:p>
    <w:p>
      <w:pPr>
        <w:spacing w:line="560" w:lineRule="exact"/>
        <w:ind w:firstLine="600" w:firstLineChars="200"/>
        <w:rPr>
          <w:rFonts w:eastAsia="仿宋" w:cs="Times New Roman"/>
          <w:sz w:val="30"/>
          <w:szCs w:val="30"/>
        </w:rPr>
      </w:pPr>
      <w:r>
        <w:rPr>
          <w:rFonts w:hint="eastAsia" w:eastAsia="仿宋" w:cs="Times New Roman"/>
          <w:sz w:val="30"/>
          <w:szCs w:val="30"/>
        </w:rPr>
        <w:t>为更好满足人们对食物结构变化的需求，根据不同区域沙砾地光温水土等自然要素以及技术水平等经济社会要素的差异，开展大食物观下的沙砾地农业适宜性评价，明确不同区域沙砾地适合种植的作物类型。在此基础上，考虑光照、温度、水分和土壤条件，在水资源约束条件下，根据不同熟制，确定目标作物和种植模式，测算不同气候生态区沙砾地光温水土要素限制下的最大粮食生产潜力。</w:t>
      </w:r>
    </w:p>
    <w:p>
      <w:pPr>
        <w:spacing w:line="560" w:lineRule="exact"/>
        <w:ind w:firstLine="600" w:firstLineChars="200"/>
        <w:rPr>
          <w:rFonts w:hint="eastAsia" w:eastAsia="仿宋" w:cs="Times New Roman"/>
          <w:sz w:val="30"/>
          <w:szCs w:val="30"/>
        </w:rPr>
      </w:pPr>
      <w:r>
        <w:rPr>
          <w:rFonts w:hint="eastAsia" w:eastAsia="仿宋" w:cs="Times New Roman"/>
          <w:sz w:val="30"/>
          <w:szCs w:val="30"/>
          <w:lang w:val="en-US" w:eastAsia="zh-CN"/>
        </w:rPr>
        <w:t>4</w:t>
      </w:r>
      <w:r>
        <w:rPr>
          <w:rFonts w:hint="eastAsia" w:eastAsia="仿宋" w:cs="Times New Roman"/>
          <w:sz w:val="30"/>
          <w:szCs w:val="30"/>
        </w:rPr>
        <w:t>.沙砾地开发利用对策研究</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hint="eastAsia" w:eastAsia="仿宋" w:cs="Times New Roman"/>
          <w:sz w:val="30"/>
          <w:szCs w:val="30"/>
        </w:rPr>
      </w:pPr>
      <w:r>
        <w:rPr>
          <w:rFonts w:hint="eastAsia" w:eastAsia="仿宋" w:cs="Times New Roman"/>
          <w:sz w:val="30"/>
          <w:szCs w:val="30"/>
        </w:rPr>
        <w:t>构建沙砾地纳入耕地后备资源评价指标体系，按照因地制宜、适度开发、生态环境保护优先的原则，建立宜耕沙砾地开发管理机制。按照“谁投入、谁受益”的原则，完善适应市场经济要求的宜耕沙砾地开发利益分配机制。强化宜耕沙砾地开发监督约束机制。形成可持续的开发利用策略，提出切实推进宜耕沙砾地开发与保护的政策建议。</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kern w:val="2"/>
          <w:sz w:val="30"/>
          <w:szCs w:val="30"/>
        </w:rPr>
      </w:pPr>
      <w:r>
        <w:rPr>
          <w:rFonts w:hint="eastAsia" w:eastAsia="仿宋" w:cs="Times New Roman"/>
          <w:sz w:val="30"/>
          <w:szCs w:val="30"/>
          <w:lang w:eastAsia="zh-CN"/>
        </w:rPr>
        <w:t>（</w:t>
      </w:r>
      <w:r>
        <w:rPr>
          <w:rFonts w:hint="eastAsia" w:eastAsia="仿宋" w:cs="Times New Roman"/>
          <w:sz w:val="30"/>
          <w:szCs w:val="30"/>
          <w:lang w:val="en-US" w:eastAsia="zh-CN"/>
        </w:rPr>
        <w:t>五）、</w:t>
      </w:r>
      <w:r>
        <w:rPr>
          <w:rFonts w:hint="eastAsia" w:ascii="仿宋" w:hAnsi="仿宋" w:eastAsia="仿宋"/>
          <w:kern w:val="2"/>
          <w:sz w:val="30"/>
          <w:szCs w:val="30"/>
        </w:rPr>
        <w:t>1、监测评估重点围绕《自治区自然资源“十四五”规划》明确的6项目标、5大领域18项主要指标，以及确定的5个方面重点任务和12类重大工程开展监测评估。全面分析规划实施取得的成效，深入研究遇到的新情况、新问题和存在的薄弱环节，《自治区自然资源“十四五”规划》监测评估工作是坚持近期与远期相结合，定性与定量分析相结合，面上评估与重点抽查相结合，紧扣《自治区自然资源“十四五”规划》确定的年度发展目标和重点任务，注重评估责任单位履行职责的情况。</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kern w:val="2"/>
          <w:sz w:val="30"/>
          <w:szCs w:val="30"/>
        </w:rPr>
      </w:pPr>
      <w:r>
        <w:rPr>
          <w:rFonts w:hint="eastAsia" w:ascii="仿宋" w:hAnsi="仿宋" w:eastAsia="仿宋"/>
          <w:kern w:val="2"/>
          <w:sz w:val="30"/>
          <w:szCs w:val="30"/>
        </w:rPr>
        <w:t>2、国内宏观经济形势发展变化对《自治区自然资源“十四五”规划》实施的影响。主要分析新疆经济运行中的新情况、新问题、新形势，预测可能影响《自治区自然资源“十四五”规划》实施的重大变量和风险点。</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kern w:val="2"/>
          <w:sz w:val="30"/>
          <w:szCs w:val="30"/>
        </w:rPr>
      </w:pPr>
      <w:r>
        <w:rPr>
          <w:rFonts w:ascii="仿宋" w:hAnsi="仿宋" w:eastAsia="仿宋"/>
          <w:kern w:val="2"/>
          <w:sz w:val="30"/>
          <w:szCs w:val="30"/>
        </w:rPr>
        <w:t>3</w:t>
      </w:r>
      <w:r>
        <w:rPr>
          <w:rFonts w:hint="eastAsia" w:ascii="仿宋" w:hAnsi="仿宋" w:eastAsia="仿宋"/>
          <w:kern w:val="2"/>
          <w:sz w:val="30"/>
          <w:szCs w:val="30"/>
        </w:rPr>
        <w:t>、国土资源领域的重要改革事项进展。主要是《自治区自然资源“十四五”规划》提出的创新耕地保护制度、深化土地管理制度改革、加快矿产资源管理制度改革、推进自然资源管理制度改革、全面落实不动产统一登记制度、加快行政审批制度改革等各项改革任务进展等。</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kern w:val="2"/>
          <w:sz w:val="30"/>
          <w:szCs w:val="30"/>
        </w:rPr>
      </w:pPr>
      <w:r>
        <w:rPr>
          <w:rFonts w:ascii="仿宋" w:hAnsi="仿宋" w:eastAsia="仿宋"/>
          <w:kern w:val="2"/>
          <w:sz w:val="30"/>
          <w:szCs w:val="30"/>
        </w:rPr>
        <w:t>4</w:t>
      </w:r>
      <w:r>
        <w:rPr>
          <w:rFonts w:hint="eastAsia" w:ascii="仿宋" w:hAnsi="仿宋" w:eastAsia="仿宋"/>
          <w:kern w:val="2"/>
          <w:sz w:val="30"/>
          <w:szCs w:val="30"/>
        </w:rPr>
        <w:t>、《自治区自然资源“十四五”规划》主要指标进展。包括土地、矿产、地质、测绘等领域的18项重大指标进展，重点是耕地保有量、高标准农田建设面积、基本农田保护面积、新增建设用地总量、基础地质调查面积等约束性指标分解落实和完成情况等。</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kern w:val="2"/>
          <w:sz w:val="30"/>
          <w:szCs w:val="30"/>
        </w:rPr>
      </w:pPr>
      <w:r>
        <w:rPr>
          <w:rFonts w:ascii="仿宋" w:hAnsi="仿宋" w:eastAsia="仿宋"/>
          <w:kern w:val="2"/>
          <w:sz w:val="30"/>
          <w:szCs w:val="30"/>
        </w:rPr>
        <w:t>5</w:t>
      </w:r>
      <w:r>
        <w:rPr>
          <w:rFonts w:hint="eastAsia" w:ascii="仿宋" w:hAnsi="仿宋" w:eastAsia="仿宋"/>
          <w:kern w:val="2"/>
          <w:sz w:val="30"/>
          <w:szCs w:val="30"/>
        </w:rPr>
        <w:t>、《自治区自然资源“十四五”规划》主要任务进展。围绕以创新增强国土资源事业发展新动力、以协调构建自然资源开发利用新格局、以绿色开辟自然资源永续利用新途径、以开放开拓自然资源合作发展新空间、以共享实现自然资源惠民利民新成效方面主要任务，根据责任分工，评估各单位组织落实情况、取得的成效、存在的问题及原因分析等。</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hint="eastAsia" w:ascii="仿宋" w:hAnsi="仿宋" w:eastAsia="仿宋"/>
          <w:kern w:val="2"/>
          <w:sz w:val="30"/>
          <w:szCs w:val="30"/>
        </w:rPr>
      </w:pPr>
      <w:r>
        <w:rPr>
          <w:rFonts w:ascii="仿宋" w:hAnsi="仿宋" w:eastAsia="仿宋"/>
          <w:kern w:val="2"/>
          <w:sz w:val="30"/>
          <w:szCs w:val="30"/>
        </w:rPr>
        <w:t>6</w:t>
      </w:r>
      <w:r>
        <w:rPr>
          <w:rFonts w:hint="eastAsia" w:ascii="仿宋" w:hAnsi="仿宋" w:eastAsia="仿宋"/>
          <w:kern w:val="2"/>
          <w:sz w:val="30"/>
          <w:szCs w:val="30"/>
        </w:rPr>
        <w:t>、意见和建议。在深入分析各项规划目标任务实现程度、问题原因等基础上，提出改进和优化《自治区自然资源“十四五”规划》实施工作的意见和建议。</w:t>
      </w:r>
      <w:r>
        <w:rPr>
          <w:rFonts w:hint="eastAsia" w:ascii="仿宋" w:hAnsi="仿宋" w:eastAsia="仿宋"/>
          <w:sz w:val="32"/>
          <w:szCs w:val="32"/>
        </w:rPr>
        <w:t>为《</w:t>
      </w:r>
      <w:r>
        <w:rPr>
          <w:rFonts w:hint="eastAsia" w:ascii="仿宋" w:hAnsi="仿宋" w:eastAsia="仿宋"/>
          <w:kern w:val="2"/>
          <w:sz w:val="30"/>
          <w:szCs w:val="30"/>
        </w:rPr>
        <w:t>自治区自然资源“十</w:t>
      </w:r>
      <w:r>
        <w:rPr>
          <w:rFonts w:hint="eastAsia" w:ascii="仿宋" w:hAnsi="仿宋" w:eastAsia="仿宋"/>
          <w:kern w:val="2"/>
          <w:sz w:val="30"/>
          <w:szCs w:val="30"/>
          <w:lang w:val="en-US" w:eastAsia="zh-CN"/>
        </w:rPr>
        <w:t>五</w:t>
      </w:r>
      <w:r>
        <w:rPr>
          <w:rFonts w:hint="eastAsia" w:ascii="仿宋" w:hAnsi="仿宋" w:eastAsia="仿宋"/>
          <w:kern w:val="2"/>
          <w:sz w:val="30"/>
          <w:szCs w:val="30"/>
        </w:rPr>
        <w:t>五规划》编制打下坚实基础。</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kern w:val="2"/>
          <w:sz w:val="30"/>
          <w:szCs w:val="30"/>
          <w:lang w:eastAsia="zh-CN"/>
        </w:rPr>
        <w:t>（</w:t>
      </w:r>
      <w:r>
        <w:rPr>
          <w:rFonts w:hint="eastAsia" w:ascii="仿宋" w:hAnsi="仿宋" w:eastAsia="仿宋"/>
          <w:kern w:val="2"/>
          <w:sz w:val="30"/>
          <w:szCs w:val="30"/>
          <w:lang w:val="en-US" w:eastAsia="zh-CN"/>
        </w:rPr>
        <w:t>六）</w:t>
      </w:r>
      <w:r>
        <w:rPr>
          <w:rFonts w:hint="eastAsia" w:ascii="仿宋" w:hAnsi="仿宋" w:eastAsia="仿宋" w:cs="宋体"/>
          <w:sz w:val="30"/>
          <w:szCs w:val="30"/>
        </w:rPr>
        <w:t>1、自然资源是经济社会发展的物质基础、能量来源和空间载体。自然资源数据在自然资源管理、资源形势分析和战略政策制定中发挥非常重要的作用。</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2、自然资源统计属于国家部门统计，是自然资源管理的一项长期性、基础性工作，其主要任务是对自然资源部履行好“两统一”职责提供统计数据支撑，为社会公众提供自然资源管理统计信息服务。</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宋体"/>
          <w:sz w:val="30"/>
          <w:szCs w:val="30"/>
        </w:rPr>
      </w:pPr>
      <w:r>
        <w:rPr>
          <w:rFonts w:hint="eastAsia" w:ascii="仿宋" w:hAnsi="仿宋" w:eastAsia="仿宋" w:cs="宋体"/>
          <w:sz w:val="30"/>
          <w:szCs w:val="30"/>
        </w:rPr>
        <w:t>3、对土地、矿产、森林、草原、湿地等自然资源，以及海洋经济、地质勘查、地质灾害、测绘地理信息、自然资源督察、行政管理等开展统计调查和统计分析，提供统计数据，实施统计监督。</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hint="eastAsia" w:ascii="仿宋" w:hAnsi="仿宋" w:eastAsia="仿宋"/>
          <w:sz w:val="30"/>
          <w:szCs w:val="30"/>
        </w:rPr>
      </w:pPr>
      <w:r>
        <w:rPr>
          <w:rFonts w:hint="eastAsia" w:ascii="仿宋" w:hAnsi="仿宋" w:eastAsia="仿宋" w:cs="宋体"/>
          <w:sz w:val="30"/>
          <w:szCs w:val="30"/>
        </w:rPr>
        <w:t>4、全面统计和收集自然资源管理中自然资源利用现状、自然资源调查、不动产确权登记、国土空间规划、用途管制、资源开发利用、自然资源保护与修复、地质灾害及防治、测绘与地理信息管理、科技与信息化成果、执法监察、管理体制等方面情况及数据，汇总、分析变化原因和发展趋势，按不同时间段、不同工作领域、不同目的等进行编制</w:t>
      </w:r>
      <w:r>
        <w:rPr>
          <w:rFonts w:hint="eastAsia" w:ascii="仿宋" w:hAnsi="仿宋" w:eastAsia="仿宋" w:cs="宋体"/>
          <w:sz w:val="30"/>
          <w:szCs w:val="30"/>
          <w:lang w:val="en-US" w:eastAsia="zh-CN"/>
        </w:rPr>
        <w:t>自然资源季报、年报等</w:t>
      </w:r>
      <w:r>
        <w:rPr>
          <w:rFonts w:hint="eastAsia" w:ascii="仿宋" w:hAnsi="仿宋" w:eastAsia="仿宋" w:cs="宋体"/>
          <w:sz w:val="30"/>
          <w:szCs w:val="30"/>
        </w:rPr>
        <w:t>。成果经自然资源管理方面专家和各相关职能部门专家审查认定后，并经自然资源厅厅长办公会通过后，出版印刷向社会有关部门公布。</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2" w:firstLineChars="200"/>
        <w:rPr>
          <w:rFonts w:ascii="仿宋" w:hAnsi="仿宋" w:eastAsia="仿宋" w:cs="仿宋"/>
          <w:b/>
          <w:bCs/>
          <w:sz w:val="30"/>
          <w:szCs w:val="30"/>
          <w:lang w:val="en-US"/>
        </w:rPr>
      </w:pPr>
      <w:r>
        <w:rPr>
          <w:rFonts w:hint="eastAsia" w:ascii="仿宋" w:hAnsi="仿宋" w:eastAsia="仿宋" w:cs="仿宋"/>
          <w:b/>
          <w:bCs/>
          <w:sz w:val="30"/>
          <w:szCs w:val="30"/>
          <w:lang w:val="en-US"/>
        </w:rPr>
        <w:t>（2）实施情况</w:t>
      </w:r>
    </w:p>
    <w:p>
      <w:pPr>
        <w:spacing w:line="60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本项目总投资</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万元，其中：财政本级资金</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万元。项目实际支出</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万元，支出率为100%。</w:t>
      </w:r>
    </w:p>
    <w:p>
      <w:pPr>
        <w:pStyle w:val="54"/>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3.项目实施主体</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sz w:val="30"/>
          <w:szCs w:val="30"/>
        </w:rPr>
        <w:t>该项目由新疆维吾尔自治区政</w:t>
      </w:r>
      <w:r>
        <w:rPr>
          <w:rFonts w:hint="eastAsia" w:ascii="仿宋" w:hAnsi="仿宋" w:eastAsia="仿宋" w:cs="仿宋"/>
          <w:color w:val="000000"/>
          <w:sz w:val="30"/>
          <w:szCs w:val="30"/>
        </w:rPr>
        <w:t>府投资建设项目、新疆维吾尔自治区自然资源厅实施，自然资源改革发展研究中心内设：发展战略研究室、改革布局研究室、办公室。</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主要职能是：</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第一条，根据中共中央、国务院批准的《新疆维吾尔自治区机构改革方案》(厅字[2018)110号）和自治区党委办公厅、自治区人民政府办公厅印发的《关于&lt;新疆维吾尔自治区机构改革方案&gt;的实施意见》（新党办发[2018]52号）制定本规定。</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第二条，自治区自然资源厅是自治区人民政府组成部门为正厅级。</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第三条，自治区自然资源厅贯彻落实党中央关于自然资源工作的方针政策和决策部署以及自治区党委工作要求，在履行职责过程中坚持和加强党对自然资源工作的集中统一领导。</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主要职责是：</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履行全民所有土地、矿产、森林、草原、湿地、水等自然资源资产所有者职责和所有国土空间用途管制职责。贯彻执行自然资源和国土空间规划及测绘等法律法规，起草自治区自然资源和国土空间规划及测绘等地方性法规和政府规章草案并监督检查执行情况。</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管理地质勘查行业和全区地质工作。编制自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负责测绘地理信息管理工作。负责自治区基础测绘和测绘行业管理。负责自治区测绘资质资格与信用管理，监督管理自治区地理信息安全和市场秩序。负责自治区地理信息公共服务管理。负责自治区测量标志保护。</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推动自然资源领域科技发展。制定并实施自治区自然资源领域科技创新发展和人才培养战略、规划和计划。组织监督实施搜术标准、规程规范。组织实施自治区重大科技工程及创新能力建设，推进自然资源信息化和信息资料的公共服务。组织参与自然资源领域对外交流合作。</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根据授权，对地（州、市）、县（市、区）政府落实党中央、国务院关于自然资源和国土空间规划的重大方针政策、决策部署和自治区党委、自治区人民政府工作要求及法律法规执行情况进行督察。查处自然资源开发利用和国土空间规划及测绘重大违法案件。指导地（州、市）、县（市、区）有关行政执法工作。</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统一领导和管理自治区林业和草原局。</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完成自治区党委、自治区人民政府交办的其他任务。</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职能转变。自治区自然资源厅要落实中央和自治区关于统一行使全民所有自然资源资产所有者职责，统一行使所有国土空间用途管制和生态保护修复职责的要求，强化顶层设计，发挥国土空间规划管控作用，为保护和合理开发利用自然资源提供科学指引。进一步加强自治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pPr>
        <w:spacing w:line="60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4.资金投入和使用情况</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（1）资金投入情况</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该项目年初预算数</w:t>
      </w:r>
      <w:r>
        <w:rPr>
          <w:rFonts w:hint="eastAsia" w:ascii="仿宋" w:hAnsi="仿宋" w:eastAsia="仿宋" w:cs="仿宋"/>
          <w:color w:val="000000"/>
          <w:sz w:val="30"/>
          <w:szCs w:val="30"/>
          <w:lang w:val="en-US" w:eastAsia="zh-CN"/>
        </w:rPr>
        <w:t>15</w:t>
      </w:r>
      <w:r>
        <w:rPr>
          <w:rFonts w:hint="eastAsia" w:ascii="仿宋" w:hAnsi="仿宋" w:eastAsia="仿宋" w:cs="仿宋"/>
          <w:color w:val="000000"/>
          <w:sz w:val="30"/>
          <w:szCs w:val="30"/>
        </w:rPr>
        <w:t>0万元，全年预算数</w:t>
      </w:r>
      <w:r>
        <w:rPr>
          <w:rFonts w:hint="eastAsia" w:ascii="仿宋" w:hAnsi="仿宋" w:eastAsia="仿宋" w:cs="仿宋"/>
          <w:color w:val="000000"/>
          <w:sz w:val="30"/>
          <w:szCs w:val="30"/>
          <w:lang w:val="en-US" w:eastAsia="zh-CN"/>
        </w:rPr>
        <w:t>15</w:t>
      </w:r>
      <w:r>
        <w:rPr>
          <w:rFonts w:hint="eastAsia" w:ascii="仿宋" w:hAnsi="仿宋" w:eastAsia="仿宋" w:cs="仿宋"/>
          <w:color w:val="000000"/>
          <w:sz w:val="30"/>
          <w:szCs w:val="30"/>
        </w:rPr>
        <w:t>0万元，实际总投入</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万元，该项目资金落实到位</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万元，资金来源为本级财政拨款。</w:t>
      </w:r>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（2）资金使用情况</w:t>
      </w:r>
      <w:bookmarkStart w:id="1" w:name="page10"/>
      <w:bookmarkEnd w:id="1"/>
    </w:p>
    <w:p>
      <w:pPr>
        <w:widowControl/>
        <w:spacing w:line="560" w:lineRule="exact"/>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该项目年初预算数</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万元，全年预算数</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万元，全年执行数</w:t>
      </w:r>
      <w:r>
        <w:rPr>
          <w:rFonts w:hint="eastAsia" w:ascii="仿宋" w:hAnsi="仿宋" w:eastAsia="仿宋" w:cs="仿宋"/>
          <w:color w:val="000000"/>
          <w:sz w:val="30"/>
          <w:szCs w:val="30"/>
          <w:lang w:val="en-US" w:eastAsia="zh-CN"/>
        </w:rPr>
        <w:t>150</w:t>
      </w:r>
      <w:r>
        <w:rPr>
          <w:rFonts w:hint="eastAsia" w:ascii="仿宋" w:hAnsi="仿宋" w:eastAsia="仿宋" w:cs="仿宋"/>
          <w:color w:val="000000"/>
          <w:sz w:val="30"/>
          <w:szCs w:val="30"/>
        </w:rPr>
        <w:t>万元，预算执行率100%，主要用于：撰写</w:t>
      </w:r>
      <w:r>
        <w:rPr>
          <w:rFonts w:hint="eastAsia" w:ascii="仿宋" w:hAnsi="仿宋" w:eastAsia="仿宋" w:cs="宋体"/>
          <w:sz w:val="30"/>
          <w:szCs w:val="30"/>
        </w:rPr>
        <w:t>《新疆战略性、紧缺矿产资源基本形势、供给分析和应对措施研究—以锂、钒、钛、铜等矿产资源为例研究项目</w:t>
      </w:r>
      <w:r>
        <w:rPr>
          <w:rFonts w:hint="eastAsia" w:ascii="仿宋" w:hAnsi="仿宋" w:eastAsia="仿宋" w:cs="宋体"/>
          <w:sz w:val="30"/>
          <w:szCs w:val="30"/>
          <w:lang w:val="en-US" w:eastAsia="zh-CN"/>
        </w:rPr>
        <w:t>报告</w:t>
      </w:r>
      <w:r>
        <w:rPr>
          <w:rFonts w:hint="eastAsia" w:ascii="仿宋" w:hAnsi="仿宋" w:eastAsia="仿宋" w:cs="宋体"/>
          <w:sz w:val="30"/>
          <w:szCs w:val="30"/>
        </w:rPr>
        <w:t>》</w:t>
      </w:r>
      <w:r>
        <w:rPr>
          <w:rFonts w:hint="eastAsia" w:ascii="仿宋" w:hAnsi="仿宋" w:eastAsia="仿宋" w:cs="仿宋"/>
          <w:color w:val="000000"/>
          <w:sz w:val="30"/>
          <w:szCs w:val="30"/>
        </w:rPr>
        <w:t>、</w:t>
      </w:r>
      <w:r>
        <w:rPr>
          <w:rFonts w:hint="eastAsia" w:ascii="仿宋" w:hAnsi="仿宋" w:eastAsia="仿宋" w:cs="宋体"/>
          <w:sz w:val="30"/>
          <w:szCs w:val="30"/>
          <w:lang w:val="en-US" w:eastAsia="zh-CN"/>
        </w:rPr>
        <w:t>《新疆战略性矿产资源产业链发展研究项目报告》</w:t>
      </w:r>
      <w:r>
        <w:rPr>
          <w:rFonts w:hint="eastAsia" w:ascii="仿宋" w:hAnsi="仿宋" w:eastAsia="仿宋" w:cs="仿宋"/>
          <w:color w:val="000000"/>
          <w:sz w:val="30"/>
          <w:szCs w:val="30"/>
        </w:rPr>
        <w:t>、</w:t>
      </w:r>
      <w:r>
        <w:rPr>
          <w:rFonts w:hint="eastAsia" w:ascii="仿宋" w:hAnsi="仿宋" w:eastAsia="仿宋" w:cs="宋体"/>
          <w:sz w:val="30"/>
          <w:szCs w:val="30"/>
          <w:lang w:val="en-US" w:eastAsia="zh-CN"/>
        </w:rPr>
        <w:t>《新疆重要矿产品盈亏临界点分析及矿产品价格波动影响研究项目报告》、《推动新疆砂砾地等宜耕土地资源纳入耕地后备资源及开发利用研究项目报告》、《自治区自然资源“十四五”规划监测与评估项目》（终期）报告、《2024年度自治区自然资源年报及综合评价分析研究》报告</w:t>
      </w:r>
      <w:r>
        <w:rPr>
          <w:rFonts w:hint="eastAsia" w:ascii="仿宋" w:hAnsi="仿宋" w:eastAsia="仿宋" w:cs="仿宋"/>
          <w:color w:val="000000"/>
          <w:sz w:val="30"/>
          <w:szCs w:val="30"/>
        </w:rPr>
        <w:t xml:space="preserve">。 </w:t>
      </w:r>
    </w:p>
    <w:p>
      <w:pPr>
        <w:pStyle w:val="55"/>
        <w:keepLines/>
        <w:widowControl w:val="0"/>
        <w:numPr>
          <w:ilvl w:val="0"/>
          <w:numId w:val="5"/>
        </w:numPr>
        <w:ind w:left="420" w:firstLine="562"/>
        <w:rPr>
          <w:rFonts w:ascii="仿宋" w:hAnsi="仿宋" w:eastAsia="仿宋" w:cs="仿宋"/>
          <w:i w:val="0"/>
          <w:iCs w:val="0"/>
          <w:sz w:val="30"/>
          <w:szCs w:val="30"/>
        </w:rPr>
      </w:pPr>
      <w:r>
        <w:rPr>
          <w:rFonts w:hint="eastAsia" w:ascii="仿宋" w:hAnsi="仿宋" w:eastAsia="仿宋" w:cs="仿宋"/>
          <w:i w:val="0"/>
          <w:iCs w:val="0"/>
          <w:sz w:val="30"/>
          <w:szCs w:val="30"/>
        </w:rPr>
        <w:t>项目绩效目标</w:t>
      </w:r>
    </w:p>
    <w:p>
      <w:pPr>
        <w:pStyle w:val="54"/>
        <w:ind w:firstLine="600" w:firstLineChars="200"/>
        <w:rPr>
          <w:sz w:val="30"/>
          <w:szCs w:val="30"/>
        </w:rPr>
      </w:pPr>
      <w:r>
        <w:rPr>
          <w:rFonts w:hint="eastAsia" w:ascii="仿宋" w:hAnsi="仿宋" w:eastAsia="仿宋" w:cs="仿宋"/>
          <w:sz w:val="30"/>
          <w:szCs w:val="30"/>
        </w:rPr>
        <w:t>项目绩效目标包括项目绩效总目标和阶段性目标。</w:t>
      </w:r>
    </w:p>
    <w:p>
      <w:pPr>
        <w:numPr>
          <w:ilvl w:val="0"/>
          <w:numId w:val="6"/>
        </w:num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项目绩效总目标</w:t>
      </w:r>
    </w:p>
    <w:p>
      <w:pPr>
        <w:spacing w:line="600" w:lineRule="exact"/>
        <w:ind w:firstLine="600" w:firstLineChars="200"/>
        <w:rPr>
          <w:rFonts w:hint="eastAsia" w:ascii="仿宋" w:hAnsi="仿宋" w:eastAsia="仿宋" w:cs="仿宋"/>
          <w:i w:val="0"/>
          <w:iCs w:val="0"/>
          <w:caps w:val="0"/>
          <w:color w:val="000000"/>
          <w:spacing w:val="0"/>
          <w:sz w:val="30"/>
          <w:szCs w:val="30"/>
          <w:shd w:val="clear" w:color="auto" w:fill="FFFFFF"/>
          <w:lang w:eastAsia="zh-CN"/>
        </w:rPr>
      </w:pPr>
      <w:r>
        <w:rPr>
          <w:rFonts w:hint="eastAsia" w:ascii="仿宋" w:hAnsi="仿宋" w:eastAsia="仿宋" w:cs="仿宋"/>
          <w:i w:val="0"/>
          <w:iCs w:val="0"/>
          <w:caps w:val="0"/>
          <w:color w:val="000000"/>
          <w:spacing w:val="0"/>
          <w:sz w:val="30"/>
          <w:szCs w:val="30"/>
          <w:shd w:val="clear" w:color="auto" w:fill="FFFFFF"/>
        </w:rPr>
        <w:t>到2025年，矿产资源勘查开发科技创新能力不断增强，矿产资源勘查开发与保护格局更加优化，支撑保障国家“三基地一通道”和能源资源接替基地建设更加有力。矿业发展质量显著提升，矿业权市场更加健全、更加活跃，矿山生态环境质量持续提升，矿山安全根基稳固，初步形成资源、经济、环境、社会效益协调统一的矿业高质量发展新格局。解决一批战略性矿产资源成矿地质条件及成矿规律关键问题，新发现一批战略性矿产找矿远景区和靶区，形成一批原创性、前沿性的理论成果，地质资料信息化社会化服务水平不断提升</w:t>
      </w:r>
      <w:r>
        <w:rPr>
          <w:rFonts w:hint="eastAsia" w:ascii="仿宋" w:hAnsi="仿宋" w:eastAsia="仿宋" w:cs="仿宋"/>
          <w:i w:val="0"/>
          <w:iCs w:val="0"/>
          <w:caps w:val="0"/>
          <w:color w:val="000000"/>
          <w:spacing w:val="0"/>
          <w:sz w:val="30"/>
          <w:szCs w:val="30"/>
          <w:shd w:val="clear" w:color="auto" w:fill="FFFFFF"/>
          <w:lang w:eastAsia="zh-CN"/>
        </w:rPr>
        <w:t>。</w:t>
      </w:r>
    </w:p>
    <w:p>
      <w:pPr>
        <w:ind w:firstLine="600"/>
        <w:jc w:val="center"/>
        <w:rPr>
          <w:rFonts w:hint="eastAsia" w:ascii="仿宋" w:hAnsi="仿宋" w:eastAsia="仿宋" w:cs="仿宋"/>
          <w:b w:val="0"/>
          <w:bCs/>
          <w:sz w:val="30"/>
          <w:szCs w:val="30"/>
        </w:rPr>
      </w:pPr>
      <w:r>
        <w:rPr>
          <w:rFonts w:hint="eastAsia" w:ascii="仿宋" w:hAnsi="仿宋" w:eastAsia="仿宋" w:cs="仿宋"/>
          <w:b w:val="0"/>
          <w:bCs/>
          <w:sz w:val="30"/>
          <w:szCs w:val="30"/>
        </w:rPr>
        <w:t>通过对新疆重要矿产品的盈亏临界点进行分析，并探讨矿产</w:t>
      </w:r>
    </w:p>
    <w:p>
      <w:pPr>
        <w:jc w:val="both"/>
        <w:rPr>
          <w:rFonts w:hint="eastAsia" w:ascii="仿宋" w:hAnsi="仿宋" w:eastAsia="仿宋" w:cs="仿宋"/>
          <w:b w:val="0"/>
          <w:bCs/>
          <w:sz w:val="30"/>
          <w:szCs w:val="30"/>
          <w:lang w:eastAsia="zh-CN"/>
        </w:rPr>
      </w:pPr>
      <w:r>
        <w:rPr>
          <w:rFonts w:hint="eastAsia" w:ascii="仿宋" w:hAnsi="仿宋" w:eastAsia="仿宋" w:cs="仿宋"/>
          <w:b w:val="0"/>
          <w:bCs/>
          <w:sz w:val="30"/>
          <w:szCs w:val="30"/>
        </w:rPr>
        <w:t>品价格波动对其产生的影响</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lang w:val="en-US" w:eastAsia="zh-CN"/>
        </w:rPr>
        <w:t xml:space="preserve"> 1、</w:t>
      </w:r>
      <w:r>
        <w:rPr>
          <w:rFonts w:hint="eastAsia" w:ascii="仿宋" w:hAnsi="仿宋" w:eastAsia="仿宋" w:cs="仿宋"/>
          <w:b w:val="0"/>
          <w:bCs/>
          <w:sz w:val="30"/>
          <w:szCs w:val="30"/>
        </w:rPr>
        <w:t>新疆重要矿产品的盈亏临界点受到多种因素的影响，包括市场需求、生产成本、开采技术等。企业应根据自身经营状况和市场环境，合理估计和调整相关参数，以确定盈亏平衡点。</w:t>
      </w: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矿产品价格的波动对新疆矿业经济产生了深远的影响。供需关系、宏观经济环境、政策法规以及市场情绪等因素共同作用，导致矿产品价格波动不定。这种波动对矿产品企业的生产经营和盈利状况产生了不确定性</w:t>
      </w:r>
      <w:r>
        <w:rPr>
          <w:rFonts w:hint="eastAsia" w:ascii="仿宋" w:hAnsi="仿宋" w:eastAsia="仿宋" w:cs="仿宋"/>
          <w:b w:val="0"/>
          <w:bCs/>
          <w:sz w:val="30"/>
          <w:szCs w:val="30"/>
          <w:lang w:eastAsia="zh-CN"/>
        </w:rPr>
        <w:t>。</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仿宋"/>
          <w:color w:val="000000"/>
          <w:kern w:val="2"/>
          <w:sz w:val="30"/>
          <w:szCs w:val="30"/>
          <w:lang w:val="en-US"/>
        </w:rPr>
      </w:pPr>
      <w:r>
        <w:rPr>
          <w:rFonts w:hint="eastAsia" w:ascii="仿宋" w:hAnsi="仿宋" w:eastAsia="仿宋" w:cs="仿宋"/>
          <w:color w:val="000000"/>
          <w:kern w:val="2"/>
          <w:sz w:val="30"/>
          <w:szCs w:val="30"/>
          <w:lang w:val="en-US"/>
        </w:rPr>
        <w:t>全面分析规划实施取得的成效，深入研究遇到的新情况、新问题和存在的薄弱环节，《自治区自然资源“十四五”规划》监测评估工作是坚持近期与远期相结合，定性与定量分析相结合，面上评估与重点抽查相结合，紧扣《自治区自然资源“十四五”规划》确定的年度发展目标和重点任务，注重评估责任单位履行职责的情况。评估工作是对新发展理念在自然资源管理中的落实、农村土地制度改革、矿业权改革等重大改革事项的进展情况、建设用地“双控”、集约节约用地等完成情况以及国土资源在助力脱贫攻坚工作中所起的作用进行了总结、评价，查找问题，并与自治区政府要求进行对比，提出意见建议，在此基础上撰写年度监测评估报告。</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仿宋"/>
          <w:color w:val="000000"/>
          <w:kern w:val="2"/>
          <w:sz w:val="30"/>
          <w:szCs w:val="30"/>
          <w:lang w:val="en-US"/>
        </w:rPr>
      </w:pPr>
      <w:r>
        <w:rPr>
          <w:rFonts w:hint="eastAsia" w:ascii="仿宋" w:hAnsi="仿宋" w:eastAsia="仿宋" w:cs="仿宋"/>
          <w:color w:val="000000"/>
          <w:kern w:val="2"/>
          <w:sz w:val="30"/>
          <w:szCs w:val="30"/>
          <w:lang w:val="en-US"/>
        </w:rPr>
        <w:t>为全面深入了解影响自然资源管理、经济运行形势分析涉及的关键业务、关键数据和关键质量点，建立可纵横对比、内外对比分析的合理完备数据链。通过全面客观的数据综合统计，结合国家和自治区相关政策、整体管理情况深入研究分析，找出管理特点和变化重点，特别是自然资源的开发、利用、保护对自然环境和对人类生产、生活的影响及其经济后果，揭示自然资源事业发展中存在的相关问题和内在经济规律，为自然资源管理提供科学决策依据，积极推动自然资源管理水平稳步提高，助力自治区经济高质量发展、可持续发展。</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仿宋"/>
          <w:color w:val="000000"/>
          <w:kern w:val="2"/>
          <w:sz w:val="30"/>
          <w:szCs w:val="30"/>
          <w:lang w:val="en-US"/>
        </w:rPr>
      </w:pPr>
      <w:r>
        <w:rPr>
          <w:rFonts w:hint="eastAsia" w:ascii="仿宋" w:hAnsi="仿宋" w:eastAsia="仿宋" w:cs="仿宋"/>
          <w:color w:val="000000"/>
          <w:kern w:val="2"/>
          <w:sz w:val="30"/>
          <w:szCs w:val="30"/>
          <w:lang w:val="en-US"/>
        </w:rPr>
        <w:t>立足当前全区自然资源状况，分析自然资源调查评价、开发利用、保护修复等管理工作情况，研究自治区自然资源经济运行形势，形成自治区自然资源管理、经济运行形势半年、全年分析报告。</w:t>
      </w:r>
    </w:p>
    <w:p>
      <w:pPr>
        <w:pStyle w:val="5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00" w:firstLineChars="200"/>
        <w:rPr>
          <w:rFonts w:ascii="仿宋" w:hAnsi="仿宋" w:eastAsia="仿宋" w:cs="仿宋"/>
          <w:color w:val="000000"/>
          <w:kern w:val="2"/>
          <w:sz w:val="30"/>
          <w:szCs w:val="30"/>
          <w:lang w:val="en-US"/>
        </w:rPr>
      </w:pPr>
      <w:r>
        <w:rPr>
          <w:rFonts w:hint="eastAsia" w:ascii="仿宋" w:hAnsi="仿宋" w:eastAsia="仿宋" w:cs="仿宋"/>
          <w:color w:val="000000"/>
          <w:kern w:val="2"/>
          <w:sz w:val="30"/>
          <w:szCs w:val="30"/>
          <w:lang w:val="en-US"/>
        </w:rPr>
        <w:t>自然资源年报及综合评价分析是自然资源部门的一项长期性、基础性工作，其目标任务是为自然资源部履行好“两统一”职责提供统计数据支撑，为社会公众提供自然资源管理统计信息服务。展望未来，自然资源统计将走向法治化、标准化、规范化轨道，从提供统计数据服务向监测分析和应用研究转变，大数据和人工智能等新技术将会在自然资源统计中得到应用，“智慧统计”将成为统计工作新模式。各级自然资源管理部门要更加重视统计工作，进一步健全自然资源统计体系，加强统计分析和信息共享，促进自然资源统计工作迈上新台阶。形成《202</w:t>
      </w:r>
      <w:r>
        <w:rPr>
          <w:rFonts w:hint="eastAsia" w:ascii="仿宋" w:hAnsi="仿宋" w:eastAsia="仿宋" w:cs="仿宋"/>
          <w:color w:val="000000"/>
          <w:kern w:val="2"/>
          <w:sz w:val="30"/>
          <w:szCs w:val="30"/>
          <w:lang w:val="en-US" w:eastAsia="zh-CN"/>
        </w:rPr>
        <w:t>4</w:t>
      </w:r>
      <w:r>
        <w:rPr>
          <w:rFonts w:hint="eastAsia" w:ascii="仿宋" w:hAnsi="仿宋" w:eastAsia="仿宋" w:cs="仿宋"/>
          <w:color w:val="000000"/>
          <w:kern w:val="2"/>
          <w:sz w:val="30"/>
          <w:szCs w:val="30"/>
          <w:lang w:val="en-US"/>
        </w:rPr>
        <w:t>年度自治区自然资源年报及综合评价分析研究》报告。</w:t>
      </w:r>
    </w:p>
    <w:p>
      <w:pPr>
        <w:spacing w:line="60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2.阶段性目标</w:t>
      </w:r>
    </w:p>
    <w:p>
      <w:pPr>
        <w:pStyle w:val="54"/>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numPr>
          <w:ilvl w:val="0"/>
          <w:numId w:val="7"/>
        </w:numPr>
        <w:spacing w:line="600" w:lineRule="exact"/>
        <w:ind w:firstLine="562"/>
        <w:rPr>
          <w:rFonts w:ascii="仿宋" w:hAnsi="仿宋" w:eastAsia="仿宋" w:cs="仿宋"/>
          <w:kern w:val="0"/>
          <w:sz w:val="30"/>
          <w:szCs w:val="30"/>
        </w:rPr>
      </w:pPr>
      <w:r>
        <w:rPr>
          <w:rFonts w:hint="eastAsia" w:ascii="仿宋" w:hAnsi="仿宋" w:eastAsia="仿宋" w:cs="仿宋"/>
          <w:kern w:val="0"/>
          <w:sz w:val="30"/>
          <w:szCs w:val="30"/>
        </w:rPr>
        <w:t>项目产出目标</w:t>
      </w:r>
    </w:p>
    <w:p>
      <w:pPr>
        <w:pStyle w:val="54"/>
        <w:numPr>
          <w:ilvl w:val="0"/>
          <w:numId w:val="8"/>
        </w:numPr>
        <w:spacing w:line="600" w:lineRule="exact"/>
        <w:rPr>
          <w:rFonts w:ascii="仿宋" w:hAnsi="仿宋" w:eastAsia="仿宋" w:cs="仿宋"/>
          <w:color w:val="000000"/>
          <w:kern w:val="2"/>
          <w:sz w:val="30"/>
          <w:szCs w:val="30"/>
        </w:rPr>
      </w:pPr>
      <w:r>
        <w:rPr>
          <w:rFonts w:hint="eastAsia" w:ascii="仿宋" w:hAnsi="仿宋" w:eastAsia="仿宋" w:cs="仿宋"/>
          <w:color w:val="000000"/>
          <w:kern w:val="2"/>
          <w:sz w:val="30"/>
          <w:szCs w:val="30"/>
        </w:rPr>
        <w:t>数量指标</w:t>
      </w:r>
    </w:p>
    <w:p>
      <w:pPr>
        <w:pStyle w:val="54"/>
        <w:spacing w:line="560" w:lineRule="exact"/>
        <w:ind w:left="149" w:leftChars="71" w:firstLine="450" w:firstLineChars="150"/>
        <w:rPr>
          <w:rFonts w:ascii="仿宋" w:hAnsi="仿宋" w:eastAsia="仿宋" w:cs="仿宋"/>
          <w:color w:val="000000"/>
          <w:kern w:val="2"/>
          <w:sz w:val="30"/>
          <w:szCs w:val="30"/>
        </w:rPr>
      </w:pPr>
      <w:r>
        <w:rPr>
          <w:rFonts w:hint="eastAsia" w:ascii="仿宋" w:hAnsi="仿宋" w:eastAsia="仿宋" w:cs="仿宋"/>
          <w:color w:val="000000"/>
          <w:kern w:val="2"/>
          <w:sz w:val="30"/>
          <w:szCs w:val="30"/>
        </w:rPr>
        <w:t>“</w:t>
      </w:r>
      <w:r>
        <w:rPr>
          <w:rFonts w:hint="eastAsia" w:ascii="仿宋" w:hAnsi="仿宋" w:eastAsia="仿宋" w:cs="仿宋"/>
          <w:color w:val="000000"/>
          <w:kern w:val="2"/>
          <w:sz w:val="30"/>
          <w:szCs w:val="30"/>
          <w:lang w:val="en-US" w:eastAsia="zh-CN"/>
        </w:rPr>
        <w:t>形成</w:t>
      </w:r>
      <w:r>
        <w:rPr>
          <w:rFonts w:hint="eastAsia" w:ascii="仿宋" w:hAnsi="仿宋" w:eastAsia="仿宋" w:cs="宋体"/>
          <w:sz w:val="30"/>
          <w:szCs w:val="30"/>
        </w:rPr>
        <w:t>《新疆战略性、紧缺矿产资源基本形势、供给分析和应对措施研究—以锂、钒、钛、铜等矿产资源为例研究项目》</w:t>
      </w:r>
      <w:r>
        <w:rPr>
          <w:rFonts w:hint="eastAsia" w:ascii="仿宋" w:hAnsi="仿宋" w:eastAsia="仿宋" w:cs="宋体"/>
          <w:sz w:val="30"/>
          <w:szCs w:val="30"/>
          <w:lang w:val="en-US" w:eastAsia="zh-CN"/>
        </w:rPr>
        <w:t>实施方案</w:t>
      </w:r>
      <w:r>
        <w:rPr>
          <w:rFonts w:hint="eastAsia" w:ascii="仿宋" w:hAnsi="仿宋" w:eastAsia="仿宋" w:cs="仿宋"/>
          <w:color w:val="000000"/>
          <w:kern w:val="2"/>
          <w:sz w:val="30"/>
          <w:szCs w:val="30"/>
        </w:rPr>
        <w:t>”指标，</w:t>
      </w:r>
      <w:r>
        <w:rPr>
          <w:rFonts w:hint="eastAsia" w:ascii="仿宋" w:hAnsi="仿宋" w:eastAsia="仿宋" w:cs="仿宋"/>
          <w:bCs/>
          <w:sz w:val="30"/>
          <w:szCs w:val="30"/>
        </w:rPr>
        <w:t>预期指标值为＝1</w:t>
      </w:r>
      <w:r>
        <w:rPr>
          <w:rFonts w:hint="eastAsia" w:ascii="仿宋" w:hAnsi="仿宋" w:eastAsia="仿宋" w:cs="仿宋"/>
          <w:color w:val="000000"/>
          <w:kern w:val="2"/>
          <w:sz w:val="30"/>
          <w:szCs w:val="30"/>
        </w:rPr>
        <w:t>个；</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w:t>
      </w:r>
      <w:r>
        <w:rPr>
          <w:rFonts w:hint="eastAsia" w:ascii="仿宋" w:hAnsi="仿宋" w:eastAsia="仿宋" w:cs="仿宋"/>
          <w:color w:val="000000"/>
          <w:kern w:val="2"/>
          <w:sz w:val="30"/>
          <w:szCs w:val="30"/>
          <w:lang w:val="en-US" w:eastAsia="zh-CN"/>
        </w:rPr>
        <w:t>形成</w:t>
      </w:r>
      <w:r>
        <w:rPr>
          <w:rFonts w:hint="eastAsia" w:ascii="仿宋" w:hAnsi="仿宋" w:eastAsia="仿宋" w:cs="宋体"/>
          <w:sz w:val="30"/>
          <w:szCs w:val="30"/>
          <w:lang w:val="en-US" w:eastAsia="zh-CN"/>
        </w:rPr>
        <w:t>《新疆战略性矿产资源产业链发展研究项目》”实施方案</w:t>
      </w:r>
      <w:r>
        <w:rPr>
          <w:rFonts w:hint="eastAsia" w:ascii="仿宋" w:hAnsi="仿宋" w:eastAsia="仿宋" w:cs="仿宋"/>
          <w:color w:val="000000"/>
          <w:kern w:val="2"/>
          <w:sz w:val="30"/>
          <w:szCs w:val="30"/>
        </w:rPr>
        <w:t>指标，</w:t>
      </w:r>
      <w:r>
        <w:rPr>
          <w:rFonts w:hint="eastAsia" w:ascii="仿宋" w:hAnsi="仿宋" w:eastAsia="仿宋" w:cs="仿宋"/>
          <w:bCs/>
          <w:sz w:val="30"/>
          <w:szCs w:val="30"/>
        </w:rPr>
        <w:t>预期指标值为＝1</w:t>
      </w:r>
      <w:r>
        <w:rPr>
          <w:rFonts w:hint="eastAsia" w:ascii="仿宋" w:hAnsi="仿宋" w:eastAsia="仿宋" w:cs="仿宋"/>
          <w:color w:val="000000"/>
          <w:kern w:val="2"/>
          <w:sz w:val="30"/>
          <w:szCs w:val="30"/>
        </w:rPr>
        <w:t>个；</w:t>
      </w:r>
    </w:p>
    <w:p>
      <w:pPr>
        <w:pStyle w:val="54"/>
        <w:spacing w:line="560" w:lineRule="exact"/>
        <w:ind w:firstLine="600" w:firstLineChars="200"/>
        <w:rPr>
          <w:rFonts w:hint="eastAsia" w:ascii="仿宋" w:hAnsi="仿宋" w:eastAsia="仿宋" w:cs="仿宋"/>
          <w:color w:val="000000"/>
          <w:kern w:val="2"/>
          <w:sz w:val="30"/>
          <w:szCs w:val="30"/>
        </w:rPr>
      </w:pPr>
      <w:r>
        <w:rPr>
          <w:rFonts w:hint="eastAsia" w:ascii="仿宋" w:hAnsi="仿宋" w:eastAsia="仿宋" w:cs="仿宋"/>
          <w:color w:val="000000"/>
          <w:kern w:val="2"/>
          <w:sz w:val="30"/>
          <w:szCs w:val="30"/>
        </w:rPr>
        <w:t>“</w:t>
      </w:r>
      <w:r>
        <w:rPr>
          <w:rFonts w:hint="eastAsia" w:ascii="仿宋" w:hAnsi="仿宋" w:eastAsia="仿宋" w:cs="仿宋"/>
          <w:color w:val="000000"/>
          <w:kern w:val="2"/>
          <w:sz w:val="30"/>
          <w:szCs w:val="30"/>
          <w:lang w:val="en-US" w:eastAsia="zh-CN"/>
        </w:rPr>
        <w:t>形成</w:t>
      </w:r>
      <w:r>
        <w:rPr>
          <w:rFonts w:hint="eastAsia" w:ascii="仿宋" w:hAnsi="仿宋" w:eastAsia="仿宋" w:cs="宋体"/>
          <w:sz w:val="30"/>
          <w:szCs w:val="30"/>
          <w:lang w:val="en-US" w:eastAsia="zh-CN"/>
        </w:rPr>
        <w:t>《新疆重要矿产品盈亏临界点分析及矿产品价格波动影响研究项目》</w:t>
      </w:r>
      <w:r>
        <w:rPr>
          <w:rFonts w:hint="eastAsia" w:ascii="仿宋" w:hAnsi="仿宋" w:eastAsia="仿宋" w:cs="仿宋"/>
          <w:color w:val="000000"/>
          <w:kern w:val="2"/>
          <w:sz w:val="30"/>
          <w:szCs w:val="30"/>
        </w:rPr>
        <w:t>”</w:t>
      </w:r>
      <w:r>
        <w:rPr>
          <w:rFonts w:hint="eastAsia" w:ascii="仿宋" w:hAnsi="仿宋" w:eastAsia="仿宋" w:cs="仿宋"/>
          <w:color w:val="000000"/>
          <w:kern w:val="2"/>
          <w:sz w:val="30"/>
          <w:szCs w:val="30"/>
          <w:lang w:val="en-US" w:eastAsia="zh-CN"/>
        </w:rPr>
        <w:t>实施方案</w:t>
      </w:r>
      <w:r>
        <w:rPr>
          <w:rFonts w:hint="eastAsia" w:ascii="仿宋" w:hAnsi="仿宋" w:eastAsia="仿宋" w:cs="仿宋"/>
          <w:color w:val="000000"/>
          <w:kern w:val="2"/>
          <w:sz w:val="30"/>
          <w:szCs w:val="30"/>
        </w:rPr>
        <w:t>指标，</w:t>
      </w:r>
      <w:r>
        <w:rPr>
          <w:rFonts w:hint="eastAsia" w:ascii="仿宋" w:hAnsi="仿宋" w:eastAsia="仿宋" w:cs="仿宋"/>
          <w:bCs/>
          <w:sz w:val="30"/>
          <w:szCs w:val="30"/>
        </w:rPr>
        <w:t>预期指标值为＝1</w:t>
      </w:r>
      <w:r>
        <w:rPr>
          <w:rFonts w:hint="eastAsia" w:ascii="仿宋" w:hAnsi="仿宋" w:eastAsia="仿宋" w:cs="仿宋"/>
          <w:color w:val="000000"/>
          <w:kern w:val="2"/>
          <w:sz w:val="30"/>
          <w:szCs w:val="30"/>
        </w:rPr>
        <w:t>个；</w:t>
      </w:r>
    </w:p>
    <w:p>
      <w:pPr>
        <w:pStyle w:val="54"/>
        <w:spacing w:line="560" w:lineRule="exact"/>
        <w:ind w:firstLine="600" w:firstLineChars="200"/>
        <w:rPr>
          <w:rFonts w:hint="eastAsia" w:ascii="仿宋" w:hAnsi="仿宋" w:eastAsia="仿宋" w:cs="仿宋"/>
          <w:color w:val="000000"/>
          <w:kern w:val="2"/>
          <w:sz w:val="30"/>
          <w:szCs w:val="30"/>
        </w:rPr>
      </w:pPr>
      <w:r>
        <w:rPr>
          <w:rFonts w:hint="eastAsia" w:ascii="仿宋" w:hAnsi="仿宋" w:eastAsia="仿宋" w:cs="宋体"/>
          <w:sz w:val="30"/>
          <w:szCs w:val="30"/>
          <w:lang w:val="en-US" w:eastAsia="zh-CN"/>
        </w:rPr>
        <w:t>“形成《推动新疆砂砾地等宜耕土地资源纳入耕地后备资源及开发利用研究项目》”</w:t>
      </w:r>
      <w:r>
        <w:rPr>
          <w:rFonts w:hint="eastAsia" w:ascii="仿宋" w:hAnsi="仿宋" w:eastAsia="仿宋" w:cs="仿宋"/>
          <w:color w:val="000000"/>
          <w:kern w:val="2"/>
          <w:sz w:val="30"/>
          <w:szCs w:val="30"/>
          <w:lang w:val="en-US" w:eastAsia="zh-CN"/>
        </w:rPr>
        <w:t>实施方案</w:t>
      </w:r>
      <w:r>
        <w:rPr>
          <w:rFonts w:hint="eastAsia" w:ascii="仿宋" w:hAnsi="仿宋" w:eastAsia="仿宋" w:cs="仿宋"/>
          <w:color w:val="000000"/>
          <w:kern w:val="2"/>
          <w:sz w:val="30"/>
          <w:szCs w:val="30"/>
        </w:rPr>
        <w:t>指标，</w:t>
      </w:r>
      <w:r>
        <w:rPr>
          <w:rFonts w:hint="eastAsia" w:ascii="仿宋" w:hAnsi="仿宋" w:eastAsia="仿宋" w:cs="仿宋"/>
          <w:bCs/>
          <w:sz w:val="30"/>
          <w:szCs w:val="30"/>
        </w:rPr>
        <w:t>预期指标值为＝1</w:t>
      </w:r>
      <w:r>
        <w:rPr>
          <w:rFonts w:hint="eastAsia" w:ascii="仿宋" w:hAnsi="仿宋" w:eastAsia="仿宋" w:cs="仿宋"/>
          <w:color w:val="000000"/>
          <w:kern w:val="2"/>
          <w:sz w:val="30"/>
          <w:szCs w:val="30"/>
        </w:rPr>
        <w:t>个；</w:t>
      </w:r>
    </w:p>
    <w:p>
      <w:pPr>
        <w:pStyle w:val="54"/>
        <w:spacing w:line="560" w:lineRule="exact"/>
        <w:ind w:firstLine="600" w:firstLineChars="200"/>
        <w:rPr>
          <w:rFonts w:hint="eastAsia" w:ascii="仿宋" w:hAnsi="仿宋" w:eastAsia="仿宋" w:cs="仿宋"/>
          <w:color w:val="000000"/>
          <w:kern w:val="2"/>
          <w:sz w:val="30"/>
          <w:szCs w:val="30"/>
        </w:rPr>
      </w:pPr>
      <w:r>
        <w:rPr>
          <w:rFonts w:hint="eastAsia" w:ascii="仿宋" w:hAnsi="仿宋" w:eastAsia="仿宋" w:cs="仿宋"/>
          <w:color w:val="000000"/>
          <w:kern w:val="2"/>
          <w:sz w:val="30"/>
          <w:szCs w:val="30"/>
        </w:rPr>
        <w:t xml:space="preserve"> “完成疆内地州调查研究及资料收集”指标，</w:t>
      </w:r>
      <w:r>
        <w:rPr>
          <w:rFonts w:hint="eastAsia" w:ascii="仿宋" w:hAnsi="仿宋" w:eastAsia="仿宋" w:cs="仿宋"/>
          <w:bCs/>
          <w:sz w:val="30"/>
          <w:szCs w:val="30"/>
        </w:rPr>
        <w:t>预期指标值为＝</w:t>
      </w:r>
      <w:r>
        <w:rPr>
          <w:rFonts w:hint="eastAsia" w:ascii="仿宋" w:hAnsi="仿宋" w:eastAsia="仿宋" w:cs="仿宋"/>
          <w:color w:val="000000"/>
          <w:kern w:val="2"/>
          <w:sz w:val="30"/>
          <w:szCs w:val="30"/>
        </w:rPr>
        <w:t>6个；</w:t>
      </w:r>
    </w:p>
    <w:p>
      <w:pPr>
        <w:pStyle w:val="54"/>
        <w:spacing w:line="560" w:lineRule="exact"/>
        <w:ind w:firstLine="600" w:firstLineChars="200"/>
        <w:rPr>
          <w:rFonts w:hint="default" w:ascii="仿宋" w:hAnsi="仿宋" w:eastAsia="仿宋" w:cs="仿宋"/>
          <w:color w:val="000000"/>
          <w:kern w:val="2"/>
          <w:sz w:val="30"/>
          <w:szCs w:val="30"/>
          <w:lang w:val="en-US" w:eastAsia="zh-CN"/>
        </w:rPr>
      </w:pPr>
      <w:r>
        <w:rPr>
          <w:rFonts w:hint="eastAsia" w:ascii="仿宋" w:hAnsi="仿宋" w:eastAsia="仿宋" w:cs="仿宋"/>
          <w:color w:val="000000"/>
          <w:kern w:val="2"/>
          <w:sz w:val="30"/>
          <w:szCs w:val="30"/>
          <w:lang w:eastAsia="zh-CN"/>
        </w:rPr>
        <w:t>“</w:t>
      </w:r>
      <w:r>
        <w:rPr>
          <w:rFonts w:hint="eastAsia" w:ascii="仿宋" w:hAnsi="仿宋" w:eastAsia="仿宋" w:cs="仿宋"/>
          <w:color w:val="000000"/>
          <w:kern w:val="2"/>
          <w:sz w:val="30"/>
          <w:szCs w:val="30"/>
          <w:lang w:val="en-US" w:eastAsia="zh-CN"/>
        </w:rPr>
        <w:t>工作调研”指标，</w:t>
      </w:r>
      <w:r>
        <w:rPr>
          <w:rFonts w:hint="eastAsia" w:ascii="仿宋" w:hAnsi="仿宋" w:eastAsia="仿宋" w:cs="仿宋"/>
          <w:bCs/>
          <w:sz w:val="30"/>
          <w:szCs w:val="30"/>
        </w:rPr>
        <w:t>预期指标值为＝</w:t>
      </w:r>
      <w:r>
        <w:rPr>
          <w:rFonts w:hint="eastAsia" w:ascii="仿宋" w:hAnsi="仿宋" w:eastAsia="仿宋" w:cs="仿宋"/>
          <w:color w:val="000000"/>
          <w:kern w:val="2"/>
          <w:sz w:val="30"/>
          <w:szCs w:val="30"/>
          <w:lang w:val="en-US" w:eastAsia="zh-CN"/>
        </w:rPr>
        <w:t>2</w:t>
      </w:r>
      <w:r>
        <w:rPr>
          <w:rFonts w:hint="eastAsia" w:ascii="仿宋" w:hAnsi="仿宋" w:eastAsia="仿宋" w:cs="仿宋"/>
          <w:color w:val="000000"/>
          <w:kern w:val="2"/>
          <w:sz w:val="30"/>
          <w:szCs w:val="30"/>
        </w:rPr>
        <w:t>个；</w:t>
      </w:r>
    </w:p>
    <w:p>
      <w:pPr>
        <w:pStyle w:val="54"/>
        <w:spacing w:line="600" w:lineRule="exact"/>
        <w:ind w:firstLine="663" w:firstLineChars="221"/>
        <w:rPr>
          <w:rFonts w:ascii="仿宋" w:hAnsi="仿宋" w:eastAsia="仿宋" w:cs="仿宋"/>
          <w:color w:val="000000"/>
          <w:kern w:val="2"/>
          <w:sz w:val="30"/>
          <w:szCs w:val="30"/>
        </w:rPr>
      </w:pPr>
      <w:r>
        <w:rPr>
          <w:rFonts w:hint="eastAsia" w:ascii="仿宋" w:hAnsi="仿宋" w:eastAsia="仿宋" w:cs="仿宋"/>
          <w:color w:val="000000"/>
          <w:kern w:val="2"/>
          <w:sz w:val="30"/>
          <w:szCs w:val="30"/>
        </w:rPr>
        <w:t>②质量指标</w:t>
      </w:r>
    </w:p>
    <w:p>
      <w:pPr>
        <w:pStyle w:val="54"/>
        <w:spacing w:line="600" w:lineRule="exact"/>
        <w:ind w:firstLine="513" w:firstLineChars="171"/>
        <w:rPr>
          <w:rFonts w:ascii="仿宋" w:hAnsi="仿宋" w:eastAsia="仿宋" w:cs="仿宋"/>
          <w:color w:val="000000"/>
          <w:kern w:val="2"/>
          <w:sz w:val="30"/>
          <w:szCs w:val="30"/>
        </w:rPr>
      </w:pPr>
      <w:r>
        <w:rPr>
          <w:rFonts w:hint="eastAsia" w:ascii="仿宋" w:hAnsi="仿宋" w:eastAsia="仿宋" w:cs="仿宋"/>
          <w:color w:val="000000"/>
          <w:kern w:val="2"/>
          <w:sz w:val="30"/>
          <w:szCs w:val="30"/>
        </w:rPr>
        <w:t>“研究报告最终通过率”指标，</w:t>
      </w:r>
      <w:r>
        <w:rPr>
          <w:rFonts w:hint="eastAsia" w:ascii="仿宋" w:hAnsi="仿宋" w:eastAsia="仿宋" w:cs="仿宋"/>
          <w:sz w:val="30"/>
          <w:szCs w:val="30"/>
        </w:rPr>
        <w:t>预期指标值为</w:t>
      </w:r>
      <w:r>
        <w:rPr>
          <w:rFonts w:hint="eastAsia" w:ascii="仿宋" w:hAnsi="仿宋" w:eastAsia="仿宋" w:cs="仿宋"/>
          <w:sz w:val="30"/>
          <w:szCs w:val="30"/>
          <w:lang w:eastAsia="zh-CN"/>
        </w:rPr>
        <w:t>≥</w:t>
      </w:r>
      <w:r>
        <w:rPr>
          <w:rFonts w:hint="eastAsia" w:ascii="仿宋" w:hAnsi="仿宋" w:eastAsia="仿宋" w:cs="仿宋"/>
          <w:color w:val="000000"/>
          <w:kern w:val="2"/>
          <w:sz w:val="30"/>
          <w:szCs w:val="30"/>
          <w:lang w:val="en-US" w:eastAsia="zh-CN"/>
        </w:rPr>
        <w:t>95</w:t>
      </w:r>
      <w:r>
        <w:rPr>
          <w:rFonts w:hint="eastAsia" w:ascii="仿宋" w:hAnsi="仿宋" w:eastAsia="仿宋" w:cs="仿宋"/>
          <w:color w:val="000000"/>
          <w:kern w:val="2"/>
          <w:sz w:val="30"/>
          <w:szCs w:val="30"/>
        </w:rPr>
        <w:t>%；</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③时效指标</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“按时结题率”指标，</w:t>
      </w:r>
      <w:r>
        <w:rPr>
          <w:rFonts w:hint="eastAsia" w:ascii="仿宋" w:hAnsi="仿宋" w:eastAsia="仿宋" w:cs="仿宋"/>
          <w:sz w:val="30"/>
          <w:szCs w:val="30"/>
        </w:rPr>
        <w:t>预期指标值为＝</w:t>
      </w:r>
      <w:r>
        <w:rPr>
          <w:rFonts w:hint="eastAsia" w:ascii="仿宋" w:hAnsi="仿宋" w:eastAsia="仿宋" w:cs="仿宋"/>
          <w:color w:val="000000"/>
          <w:kern w:val="2"/>
          <w:sz w:val="30"/>
          <w:szCs w:val="30"/>
        </w:rPr>
        <w:t>100%。</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④成本指标</w:t>
      </w:r>
    </w:p>
    <w:p>
      <w:pPr>
        <w:pStyle w:val="54"/>
        <w:spacing w:line="560" w:lineRule="exact"/>
        <w:ind w:firstLine="600" w:firstLineChars="200"/>
        <w:rPr>
          <w:rFonts w:hint="default" w:ascii="仿宋" w:hAnsi="仿宋" w:eastAsia="仿宋" w:cs="仿宋"/>
          <w:kern w:val="2"/>
          <w:sz w:val="30"/>
          <w:szCs w:val="30"/>
          <w:lang w:val="en-US" w:eastAsia="zh-CN"/>
        </w:rPr>
      </w:pPr>
      <w:r>
        <w:rPr>
          <w:rFonts w:hint="eastAsia" w:ascii="仿宋" w:hAnsi="仿宋" w:eastAsia="仿宋" w:cs="仿宋"/>
          <w:kern w:val="2"/>
          <w:sz w:val="30"/>
          <w:szCs w:val="30"/>
          <w:lang w:val="en-US" w:eastAsia="zh-CN"/>
        </w:rPr>
        <w:t>“专家评审费（每人每次）”指标，</w:t>
      </w:r>
      <w:r>
        <w:rPr>
          <w:rFonts w:hint="eastAsia" w:ascii="仿宋" w:hAnsi="仿宋" w:eastAsia="仿宋" w:cs="仿宋"/>
          <w:sz w:val="30"/>
          <w:szCs w:val="30"/>
        </w:rPr>
        <w:t>预期指标值为</w:t>
      </w:r>
      <w:r>
        <w:rPr>
          <w:rFonts w:hint="eastAsia" w:ascii="仿宋" w:hAnsi="仿宋" w:eastAsia="仿宋" w:cs="仿宋"/>
          <w:sz w:val="30"/>
          <w:szCs w:val="30"/>
          <w:lang w:val="en-US" w:eastAsia="zh-CN"/>
        </w:rPr>
        <w:t>≤1200元</w:t>
      </w:r>
      <w:r>
        <w:rPr>
          <w:rFonts w:hint="eastAsia" w:ascii="仿宋" w:hAnsi="仿宋" w:eastAsia="仿宋" w:cs="仿宋"/>
          <w:color w:val="000000"/>
          <w:kern w:val="2"/>
          <w:sz w:val="30"/>
          <w:szCs w:val="30"/>
        </w:rPr>
        <w:t>。</w:t>
      </w:r>
    </w:p>
    <w:p>
      <w:pPr>
        <w:pStyle w:val="54"/>
        <w:spacing w:line="560" w:lineRule="exact"/>
        <w:ind w:firstLine="600" w:firstLineChars="200"/>
        <w:rPr>
          <w:rFonts w:ascii="仿宋" w:hAnsi="仿宋" w:eastAsia="仿宋" w:cs="仿宋"/>
          <w:kern w:val="2"/>
          <w:sz w:val="30"/>
          <w:szCs w:val="30"/>
        </w:rPr>
      </w:pPr>
      <w:r>
        <w:rPr>
          <w:rFonts w:hint="eastAsia" w:ascii="仿宋" w:hAnsi="仿宋" w:eastAsia="仿宋" w:cs="仿宋"/>
          <w:kern w:val="2"/>
          <w:sz w:val="30"/>
          <w:szCs w:val="30"/>
        </w:rPr>
        <w:t>（2）项目效益目标</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①经济效益指标</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无</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②社会效益指标</w:t>
      </w:r>
    </w:p>
    <w:p>
      <w:pPr>
        <w:pStyle w:val="54"/>
        <w:spacing w:line="560" w:lineRule="exact"/>
        <w:ind w:firstLine="600" w:firstLineChars="200"/>
        <w:rPr>
          <w:rFonts w:ascii="仿宋" w:hAnsi="仿宋" w:eastAsia="仿宋" w:cs="仿宋"/>
          <w:color w:val="000000"/>
          <w:kern w:val="2"/>
          <w:sz w:val="30"/>
          <w:szCs w:val="30"/>
        </w:rPr>
      </w:pPr>
      <w:r>
        <w:rPr>
          <w:rFonts w:hint="eastAsia" w:ascii="仿宋" w:hAnsi="仿宋" w:eastAsia="仿宋" w:cs="仿宋"/>
          <w:color w:val="000000"/>
          <w:kern w:val="2"/>
          <w:sz w:val="30"/>
          <w:szCs w:val="30"/>
        </w:rPr>
        <w:t>“完成202</w:t>
      </w:r>
      <w:r>
        <w:rPr>
          <w:rFonts w:hint="eastAsia" w:ascii="仿宋" w:hAnsi="仿宋" w:eastAsia="仿宋" w:cs="仿宋"/>
          <w:color w:val="000000"/>
          <w:kern w:val="2"/>
          <w:sz w:val="30"/>
          <w:szCs w:val="30"/>
          <w:lang w:val="en-US" w:eastAsia="zh-CN"/>
        </w:rPr>
        <w:t>5</w:t>
      </w:r>
      <w:r>
        <w:rPr>
          <w:rFonts w:hint="eastAsia" w:ascii="仿宋" w:hAnsi="仿宋" w:eastAsia="仿宋" w:cs="仿宋"/>
          <w:color w:val="000000"/>
          <w:kern w:val="2"/>
          <w:sz w:val="30"/>
          <w:szCs w:val="30"/>
        </w:rPr>
        <w:t>年《自治区自然资源综合</w:t>
      </w:r>
      <w:r>
        <w:rPr>
          <w:rFonts w:hint="eastAsia" w:ascii="仿宋" w:hAnsi="仿宋" w:eastAsia="仿宋" w:cs="仿宋"/>
          <w:color w:val="000000"/>
          <w:kern w:val="2"/>
          <w:sz w:val="30"/>
          <w:szCs w:val="30"/>
          <w:lang w:val="en-US" w:eastAsia="zh-CN"/>
        </w:rPr>
        <w:t>统计</w:t>
      </w:r>
      <w:r>
        <w:rPr>
          <w:rFonts w:hint="eastAsia" w:ascii="仿宋" w:hAnsi="仿宋" w:eastAsia="仿宋" w:cs="仿宋"/>
          <w:color w:val="000000"/>
          <w:kern w:val="2"/>
          <w:sz w:val="30"/>
          <w:szCs w:val="30"/>
        </w:rPr>
        <w:t>报告》”指标，</w:t>
      </w:r>
      <w:r>
        <w:rPr>
          <w:rFonts w:hint="eastAsia" w:ascii="仿宋" w:hAnsi="仿宋" w:eastAsia="仿宋" w:cs="仿宋"/>
          <w:bCs/>
          <w:sz w:val="30"/>
          <w:szCs w:val="30"/>
        </w:rPr>
        <w:t>预期指标值为＝1</w:t>
      </w:r>
      <w:r>
        <w:rPr>
          <w:rFonts w:hint="eastAsia" w:ascii="仿宋" w:hAnsi="仿宋" w:eastAsia="仿宋" w:cs="仿宋"/>
          <w:color w:val="000000"/>
          <w:kern w:val="2"/>
          <w:sz w:val="30"/>
          <w:szCs w:val="30"/>
        </w:rPr>
        <w:t>个；</w:t>
      </w:r>
    </w:p>
    <w:p>
      <w:pPr>
        <w:spacing w:line="560" w:lineRule="exact"/>
        <w:ind w:firstLine="600" w:firstLineChars="200"/>
        <w:rPr>
          <w:rFonts w:ascii="仿宋" w:hAnsi="仿宋" w:eastAsia="仿宋" w:cs="黑体"/>
          <w:bCs/>
          <w:sz w:val="30"/>
          <w:szCs w:val="30"/>
        </w:rPr>
      </w:pPr>
      <w:r>
        <w:rPr>
          <w:rFonts w:ascii="仿宋" w:hAnsi="仿宋" w:eastAsia="仿宋" w:cs="黑体"/>
          <w:bCs/>
          <w:sz w:val="30"/>
          <w:szCs w:val="30"/>
        </w:rPr>
        <w:t>③</w:t>
      </w:r>
      <w:r>
        <w:rPr>
          <w:rFonts w:hint="eastAsia" w:ascii="仿宋" w:hAnsi="仿宋" w:eastAsia="仿宋" w:cs="黑体"/>
          <w:bCs/>
          <w:sz w:val="30"/>
          <w:szCs w:val="30"/>
        </w:rPr>
        <w:t>生态效益指标</w:t>
      </w:r>
    </w:p>
    <w:p>
      <w:pPr>
        <w:spacing w:line="560" w:lineRule="exact"/>
        <w:ind w:firstLine="562"/>
        <w:rPr>
          <w:rFonts w:ascii="仿宋" w:hAnsi="仿宋" w:eastAsia="仿宋" w:cs="黑体"/>
          <w:bCs/>
          <w:sz w:val="30"/>
          <w:szCs w:val="30"/>
        </w:rPr>
      </w:pPr>
      <w:r>
        <w:rPr>
          <w:rFonts w:hint="eastAsia" w:ascii="仿宋" w:hAnsi="仿宋" w:eastAsia="仿宋" w:cs="黑体"/>
          <w:bCs/>
          <w:sz w:val="30"/>
          <w:szCs w:val="30"/>
        </w:rPr>
        <w:t>无</w:t>
      </w:r>
    </w:p>
    <w:p>
      <w:pPr>
        <w:spacing w:line="560" w:lineRule="exact"/>
        <w:ind w:firstLine="562"/>
        <w:rPr>
          <w:rFonts w:ascii="仿宋" w:hAnsi="仿宋" w:eastAsia="仿宋" w:cs="仿宋"/>
          <w:bCs/>
          <w:sz w:val="30"/>
          <w:szCs w:val="30"/>
        </w:rPr>
      </w:pPr>
      <w:r>
        <w:rPr>
          <w:rFonts w:hint="eastAsia" w:ascii="仿宋" w:hAnsi="仿宋" w:eastAsia="仿宋" w:cs="仿宋"/>
          <w:bCs/>
          <w:sz w:val="30"/>
          <w:szCs w:val="30"/>
        </w:rPr>
        <w:t>④可持续影响</w:t>
      </w:r>
    </w:p>
    <w:p>
      <w:pPr>
        <w:spacing w:line="560" w:lineRule="exact"/>
        <w:ind w:firstLine="562"/>
        <w:rPr>
          <w:rFonts w:ascii="仿宋" w:hAnsi="仿宋" w:eastAsia="仿宋" w:cs="仿宋"/>
          <w:bCs/>
          <w:sz w:val="30"/>
          <w:szCs w:val="30"/>
        </w:rPr>
      </w:pPr>
      <w:r>
        <w:rPr>
          <w:rFonts w:hint="eastAsia" w:ascii="仿宋" w:hAnsi="仿宋" w:eastAsia="仿宋" w:cs="仿宋"/>
          <w:bCs/>
          <w:sz w:val="30"/>
          <w:szCs w:val="30"/>
        </w:rPr>
        <w:t>无</w:t>
      </w:r>
    </w:p>
    <w:p>
      <w:pPr>
        <w:spacing w:line="560" w:lineRule="exact"/>
        <w:ind w:firstLine="562"/>
        <w:rPr>
          <w:rFonts w:ascii="仿宋" w:hAnsi="仿宋" w:eastAsia="仿宋" w:cs="黑体"/>
          <w:bCs/>
          <w:sz w:val="30"/>
          <w:szCs w:val="30"/>
        </w:rPr>
      </w:pPr>
      <w:r>
        <w:rPr>
          <w:rFonts w:hint="eastAsia" w:ascii="仿宋" w:hAnsi="仿宋" w:eastAsia="仿宋" w:cs="仿宋"/>
          <w:bCs/>
          <w:sz w:val="30"/>
          <w:szCs w:val="30"/>
        </w:rPr>
        <w:t>⑤</w:t>
      </w:r>
      <w:r>
        <w:rPr>
          <w:rFonts w:hint="eastAsia" w:ascii="仿宋" w:hAnsi="仿宋" w:eastAsia="仿宋" w:cs="黑体"/>
          <w:bCs/>
          <w:sz w:val="30"/>
          <w:szCs w:val="30"/>
        </w:rPr>
        <w:t>满意度指标</w:t>
      </w:r>
    </w:p>
    <w:p>
      <w:pPr>
        <w:spacing w:line="60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line="600" w:lineRule="exact"/>
        <w:ind w:firstLine="600" w:firstLineChars="200"/>
        <w:rPr>
          <w:rFonts w:ascii="方正黑体_GBK" w:hAnsi="方正黑体_GBK" w:eastAsia="方正黑体_GBK" w:cs="方正黑体_GBK"/>
          <w:b/>
          <w:bCs/>
          <w:sz w:val="30"/>
          <w:szCs w:val="30"/>
        </w:rPr>
      </w:pPr>
      <w:r>
        <w:rPr>
          <w:rFonts w:hint="eastAsia" w:ascii="方正黑体_GBK" w:hAnsi="方正黑体_GBK" w:eastAsia="方正黑体_GBK" w:cs="方正黑体_GBK"/>
          <w:b/>
          <w:bCs/>
          <w:sz w:val="30"/>
          <w:szCs w:val="30"/>
        </w:rPr>
        <w:t>二、绩效评价工作开展情况</w:t>
      </w:r>
    </w:p>
    <w:p>
      <w:pPr>
        <w:spacing w:line="60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（一）绩效评价目的、对象和范围</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1.绩效评价的目的</w:t>
      </w:r>
    </w:p>
    <w:p>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9"/>
        </w:num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项目在实施前向项目负责人提供财政支出绩效方面的资金管理信息，促进项目支出严格按照资金管理规定进行。</w:t>
      </w:r>
    </w:p>
    <w:p>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（2）项目绩效管理财政支出运行提供及时、有效的信息。</w:t>
      </w:r>
    </w:p>
    <w:p>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综合来看，通过开展有效的财政支出绩效评价管理，达到改进预算管理、控制节约成本，提高预算资金使用效益的目的。</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2.绩效评价的对象</w:t>
      </w:r>
    </w:p>
    <w:p>
      <w:pPr>
        <w:pStyle w:val="57"/>
        <w:spacing w:line="560" w:lineRule="exact"/>
        <w:ind w:left="0" w:leftChars="0" w:firstLine="600" w:firstLineChars="200"/>
        <w:rPr>
          <w:rFonts w:ascii="仿宋" w:hAnsi="仿宋" w:eastAsia="仿宋" w:cs="仿宋"/>
          <w:b w:val="0"/>
          <w:snapToGrid/>
          <w:sz w:val="30"/>
          <w:szCs w:val="30"/>
        </w:rPr>
      </w:pPr>
      <w:r>
        <w:rPr>
          <w:rFonts w:hint="eastAsia" w:ascii="仿宋" w:hAnsi="仿宋" w:eastAsia="仿宋" w:cs="仿宋"/>
          <w:b w:val="0"/>
          <w:snapToGrid/>
          <w:sz w:val="30"/>
          <w:szCs w:val="30"/>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3.绩效评价的范围</w:t>
      </w:r>
    </w:p>
    <w:p>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本次评价范围涵盖项目总体绩效目标、各项绩效指标完成情况以及预算执行情况。覆盖项目预算资金支出的所有内容进行评价。包括项目决策、项目实施和项目成果验收流程等。</w:t>
      </w:r>
    </w:p>
    <w:p>
      <w:pPr>
        <w:spacing w:line="60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（二）绩效评价原则、评价指标体系、评价方法、评价标准。</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1.绩效评价原则</w:t>
      </w:r>
    </w:p>
    <w:p>
      <w:pPr>
        <w:pStyle w:val="54"/>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本次评价坚持定量优先、定量与定性相结合的方式，始终遵循科学规范、公正公开、分级分类、绩效相关的基本原则。通过对自治区自然资源规划监测、矿产资源开发利用与评估项目资金进行绩效评价，旨在了解项目资金使用和项目管理情况、取得的成绩及效益，进而分析在政策执行、预算资金安排、项目实施等方面存在的问题并提出针对性建议。本次绩效评价遵循的原则包括：</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（1）科学公正。绩效评价应当运用科学合理的方法，按照规范的程序，对项目绩效进行客观、公正的反映。</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（3）激励约束。绩效评价结果应与预算安排、政策调整、改进管理实质性挂钩，体现奖优罚劣和激励相容导向，有效要安排、低效要压减、无效要问责。</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（4）公开透明。绩效评价结果应依法依规公开，并自觉接受社会监督。</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2.绩效评价指标体系</w:t>
      </w:r>
    </w:p>
    <w:p>
      <w:pPr>
        <w:pStyle w:val="54"/>
        <w:spacing w:line="560" w:lineRule="exact"/>
        <w:ind w:firstLine="600" w:firstLineChars="200"/>
        <w:rPr>
          <w:rFonts w:ascii="仿宋" w:hAnsi="仿宋" w:eastAsia="仿宋" w:cs="仿宋"/>
          <w:bCs/>
          <w:sz w:val="30"/>
          <w:szCs w:val="30"/>
        </w:rPr>
      </w:pPr>
      <w:r>
        <w:rPr>
          <w:rFonts w:hint="eastAsia" w:ascii="仿宋" w:hAnsi="仿宋" w:eastAsia="仿宋" w:cs="仿宋"/>
          <w:bCs/>
          <w:sz w:val="30"/>
          <w:szCs w:val="30"/>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54"/>
        <w:spacing w:line="560" w:lineRule="exact"/>
        <w:ind w:firstLine="600" w:firstLineChars="200"/>
        <w:rPr>
          <w:rFonts w:ascii="仿宋" w:hAnsi="仿宋" w:eastAsia="仿宋" w:cs="仿宋"/>
          <w:bCs/>
          <w:sz w:val="30"/>
          <w:szCs w:val="30"/>
        </w:rPr>
      </w:pPr>
      <w:r>
        <w:rPr>
          <w:rFonts w:hint="eastAsia" w:ascii="仿宋" w:hAnsi="仿宋" w:eastAsia="仿宋" w:cs="仿宋"/>
          <w:bCs/>
          <w:sz w:val="30"/>
          <w:szCs w:val="30"/>
        </w:rPr>
        <w:t>一级指标为：决策、过程、产出、效益。</w:t>
      </w:r>
    </w:p>
    <w:p>
      <w:pPr>
        <w:pStyle w:val="54"/>
        <w:spacing w:line="560" w:lineRule="exact"/>
        <w:ind w:firstLine="600" w:firstLineChars="200"/>
        <w:rPr>
          <w:rFonts w:ascii="仿宋" w:hAnsi="仿宋" w:eastAsia="仿宋" w:cs="仿宋"/>
          <w:bCs/>
          <w:sz w:val="30"/>
          <w:szCs w:val="30"/>
        </w:rPr>
      </w:pPr>
      <w:r>
        <w:rPr>
          <w:rFonts w:hint="eastAsia" w:ascii="仿宋" w:hAnsi="仿宋" w:eastAsia="仿宋" w:cs="仿宋"/>
          <w:bCs/>
          <w:sz w:val="30"/>
          <w:szCs w:val="30"/>
        </w:rPr>
        <w:t>二级指标为：项目立项、绩效目标、资金投入、资金管理、组织实施、产出数量、产出质量、产出时效、产出成本、项目效益。</w:t>
      </w:r>
    </w:p>
    <w:p>
      <w:pPr>
        <w:pStyle w:val="54"/>
        <w:spacing w:line="560" w:lineRule="exact"/>
        <w:ind w:firstLine="600" w:firstLineChars="200"/>
        <w:rPr>
          <w:rFonts w:ascii="仿宋" w:hAnsi="仿宋" w:eastAsia="仿宋" w:cs="仿宋"/>
          <w:bCs/>
          <w:sz w:val="30"/>
          <w:szCs w:val="30"/>
        </w:rPr>
      </w:pPr>
      <w:r>
        <w:rPr>
          <w:rFonts w:hint="eastAsia" w:ascii="仿宋" w:hAnsi="仿宋" w:eastAsia="仿宋" w:cs="仿宋"/>
          <w:bCs/>
          <w:sz w:val="30"/>
          <w:szCs w:val="30"/>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3.绩效评价方法</w:t>
      </w:r>
    </w:p>
    <w:p>
      <w:pPr>
        <w:spacing w:line="560" w:lineRule="exact"/>
        <w:ind w:firstLine="562"/>
        <w:rPr>
          <w:rFonts w:ascii="仿宋" w:hAnsi="仿宋" w:eastAsia="仿宋" w:cs="仿宋"/>
          <w:bCs/>
          <w:kern w:val="0"/>
          <w:sz w:val="30"/>
          <w:szCs w:val="30"/>
        </w:rPr>
      </w:pPr>
      <w:r>
        <w:rPr>
          <w:rFonts w:hint="eastAsia" w:ascii="仿宋" w:hAnsi="仿宋" w:eastAsia="仿宋" w:cs="仿宋"/>
          <w:bCs/>
          <w:kern w:val="0"/>
          <w:sz w:val="30"/>
          <w:szCs w:val="30"/>
        </w:rPr>
        <w:t>本次绩效评价方法的选用坚持简便有效的原则采用成本效益分析法、比较法、综合指数评价法、公众评判法等多种方法，具体评价方法如下：</w:t>
      </w:r>
    </w:p>
    <w:p>
      <w:pPr>
        <w:spacing w:line="560" w:lineRule="exact"/>
        <w:ind w:firstLine="562"/>
        <w:rPr>
          <w:rFonts w:ascii="仿宋" w:hAnsi="仿宋" w:eastAsia="仿宋" w:cs="仿宋"/>
          <w:bCs/>
          <w:kern w:val="0"/>
          <w:sz w:val="30"/>
          <w:szCs w:val="30"/>
        </w:rPr>
      </w:pPr>
      <w:r>
        <w:rPr>
          <w:rFonts w:hint="eastAsia" w:ascii="仿宋" w:hAnsi="仿宋" w:eastAsia="仿宋" w:cs="仿宋"/>
          <w:bCs/>
          <w:kern w:val="0"/>
          <w:sz w:val="30"/>
          <w:szCs w:val="30"/>
        </w:rPr>
        <w:t>（1）成本效益分析法，是指将一定时期内总成本与总效益进行对比分析，以评价绩效目标实现程度。</w:t>
      </w:r>
    </w:p>
    <w:p>
      <w:pPr>
        <w:spacing w:line="560" w:lineRule="exact"/>
        <w:ind w:firstLine="562"/>
        <w:rPr>
          <w:rFonts w:ascii="仿宋" w:hAnsi="仿宋" w:eastAsia="仿宋" w:cs="仿宋"/>
          <w:bCs/>
          <w:kern w:val="0"/>
          <w:sz w:val="30"/>
          <w:szCs w:val="30"/>
        </w:rPr>
      </w:pPr>
      <w:r>
        <w:rPr>
          <w:rFonts w:hint="eastAsia" w:ascii="仿宋" w:hAnsi="仿宋" w:eastAsia="仿宋" w:cs="仿宋"/>
          <w:bCs/>
          <w:kern w:val="0"/>
          <w:sz w:val="30"/>
          <w:szCs w:val="30"/>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spacing w:line="560" w:lineRule="exact"/>
        <w:ind w:firstLine="562"/>
        <w:rPr>
          <w:rFonts w:ascii="仿宋" w:hAnsi="仿宋" w:eastAsia="仿宋" w:cs="仿宋"/>
          <w:bCs/>
          <w:kern w:val="0"/>
          <w:sz w:val="30"/>
          <w:szCs w:val="30"/>
        </w:rPr>
      </w:pPr>
      <w:r>
        <w:rPr>
          <w:rFonts w:hint="eastAsia" w:ascii="仿宋" w:hAnsi="仿宋" w:eastAsia="仿宋" w:cs="仿宋"/>
          <w:bCs/>
          <w:kern w:val="0"/>
          <w:sz w:val="30"/>
          <w:szCs w:val="30"/>
        </w:rPr>
        <w:t>（3）综合指数评价法，是指把各项绩效指标的实际水平，对照评价标准值，分别计算各项指标评价得分，再按照设定的各项指标权数计算出综合评价得分，分析评价绩效目标实现情况的评价方法。</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02" w:firstLineChars="200"/>
        <w:rPr>
          <w:rFonts w:ascii="仿宋" w:hAnsi="仿宋" w:eastAsia="仿宋" w:cs="仿宋"/>
          <w:b/>
          <w:snapToGrid w:val="0"/>
          <w:kern w:val="0"/>
          <w:sz w:val="30"/>
          <w:szCs w:val="30"/>
        </w:rPr>
      </w:pPr>
      <w:r>
        <w:rPr>
          <w:rFonts w:hint="eastAsia" w:ascii="仿宋" w:hAnsi="仿宋" w:eastAsia="仿宋" w:cs="仿宋"/>
          <w:b/>
          <w:snapToGrid w:val="0"/>
          <w:kern w:val="0"/>
          <w:sz w:val="30"/>
          <w:szCs w:val="30"/>
        </w:rPr>
        <w:t>4.绩效评价标准</w:t>
      </w:r>
    </w:p>
    <w:p>
      <w:pPr>
        <w:widowControl/>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18"/>
        <w:numPr>
          <w:ilvl w:val="0"/>
          <w:numId w:val="10"/>
        </w:numPr>
        <w:spacing w:before="0" w:after="0" w:line="600" w:lineRule="exact"/>
        <w:ind w:firstLine="602" w:firstLineChars="200"/>
        <w:jc w:val="both"/>
        <w:rPr>
          <w:rFonts w:ascii="仿宋" w:hAnsi="仿宋" w:eastAsia="仿宋" w:cs="仿宋"/>
          <w:kern w:val="0"/>
          <w:sz w:val="30"/>
          <w:szCs w:val="30"/>
        </w:rPr>
      </w:pPr>
      <w:r>
        <w:rPr>
          <w:rFonts w:hint="eastAsia" w:ascii="仿宋" w:hAnsi="仿宋" w:eastAsia="仿宋" w:cs="仿宋"/>
          <w:kern w:val="0"/>
          <w:sz w:val="30"/>
          <w:szCs w:val="30"/>
        </w:rPr>
        <w:t>绩效评价工作过程</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11"/>
        </w:numPr>
        <w:spacing w:line="600" w:lineRule="exact"/>
        <w:ind w:firstLine="600" w:firstLineChars="200"/>
        <w:rPr>
          <w:rFonts w:ascii="方正黑体_GBK" w:hAnsi="方正黑体_GBK" w:eastAsia="方正黑体_GBK" w:cs="方正黑体_GBK"/>
          <w:b/>
          <w:bCs/>
          <w:sz w:val="30"/>
          <w:szCs w:val="30"/>
        </w:rPr>
      </w:pPr>
      <w:r>
        <w:rPr>
          <w:rFonts w:hint="eastAsia" w:ascii="方正黑体_GBK" w:hAnsi="方正黑体_GBK" w:eastAsia="方正黑体_GBK" w:cs="方正黑体_GBK"/>
          <w:b/>
          <w:bCs/>
          <w:sz w:val="30"/>
          <w:szCs w:val="30"/>
        </w:rPr>
        <w:t>综合评价情况及评价结论</w:t>
      </w:r>
    </w:p>
    <w:p>
      <w:pPr>
        <w:spacing w:line="600" w:lineRule="exact"/>
        <w:ind w:firstLine="602" w:firstLineChars="200"/>
        <w:rPr>
          <w:rFonts w:ascii="方正黑体_GBK" w:hAnsi="方正黑体_GBK" w:eastAsia="方正黑体_GBK" w:cs="方正黑体_GBK"/>
          <w:b/>
          <w:bCs/>
          <w:sz w:val="30"/>
          <w:szCs w:val="30"/>
        </w:rPr>
      </w:pPr>
      <w:r>
        <w:rPr>
          <w:rFonts w:hint="eastAsia" w:ascii="仿宋" w:hAnsi="仿宋" w:eastAsia="仿宋" w:cs="仿宋"/>
          <w:b/>
          <w:bCs/>
          <w:sz w:val="30"/>
          <w:szCs w:val="30"/>
        </w:rPr>
        <w:t>（一）综合评价情况</w:t>
      </w:r>
    </w:p>
    <w:p>
      <w:pPr>
        <w:pStyle w:val="54"/>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10分、项目过程20分、项目产出40分、项目效益30分。评价结果分为优、良、中、差四个等级：优（90分（含）—100分）；良（80分（含）—90分）；中（60分（含）—80分）；差（0分—60分）。</w:t>
      </w:r>
    </w:p>
    <w:p>
      <w:pPr>
        <w:pStyle w:val="54"/>
        <w:spacing w:line="56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评价组对照项目绩效评价指标体系，从决策、过程、产出和效益四个维度，通过数据采集、实地调研和问卷访谈等方式，对“自治区自然资源规划监测、矿产资源开发利用与评估”项目绩效进行客观公正的评价，本项目总得分为100分，绩效评级属于“优”。其中，决策类指标得分10分，过程类指标得分20分，产出类指标得分40分，效益类指标得分30分。</w:t>
      </w:r>
    </w:p>
    <w:p>
      <w:pPr>
        <w:pStyle w:val="54"/>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（二）综合评价结论</w:t>
      </w:r>
    </w:p>
    <w:p>
      <w:pPr>
        <w:pStyle w:val="54"/>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经评价，本项目达到了年初设立的绩效目标，在实施过程中取得了良好的成效，具体表现在：完成了</w:t>
      </w:r>
      <w:r>
        <w:rPr>
          <w:rFonts w:hint="eastAsia" w:ascii="仿宋" w:hAnsi="仿宋" w:eastAsia="仿宋" w:cs="宋体"/>
          <w:sz w:val="30"/>
          <w:szCs w:val="30"/>
        </w:rPr>
        <w:t>《新疆战略性、紧缺矿产资源基本形势、供给分析和应对措施研究—以锂、钒、钛、铜等矿产资源为例研究项目报告》</w:t>
      </w:r>
      <w:r>
        <w:rPr>
          <w:rFonts w:hint="eastAsia" w:ascii="仿宋" w:hAnsi="仿宋" w:eastAsia="仿宋" w:cs="仿宋"/>
          <w:sz w:val="30"/>
          <w:szCs w:val="30"/>
        </w:rPr>
        <w:t>，</w:t>
      </w:r>
      <w:r>
        <w:rPr>
          <w:rFonts w:hint="eastAsia" w:ascii="仿宋" w:hAnsi="仿宋" w:eastAsia="仿宋" w:cs="宋体"/>
          <w:sz w:val="30"/>
          <w:szCs w:val="30"/>
          <w:lang w:val="en-US" w:eastAsia="zh-CN"/>
        </w:rPr>
        <w:t>完成《新疆战略性矿产资源产业链发展研究项目报告》，完成《新疆重要矿产品盈亏临界点分析及矿产品价格波动影响研究项目报告》，完成《推动新疆砂砾地等宜耕土地资源纳入耕地后备资源及开发利用研究项目报告》，完成《自治区自然资源“十四五”规划监测与评估项目》（终期）报告，完成《2024年度自治区自然资源年报及综合评价分析研究》报告，</w:t>
      </w:r>
      <w:r>
        <w:rPr>
          <w:rFonts w:hint="eastAsia" w:ascii="仿宋" w:hAnsi="仿宋" w:eastAsia="仿宋" w:cs="仿宋"/>
          <w:sz w:val="30"/>
          <w:szCs w:val="30"/>
        </w:rPr>
        <w:t>完成了疆内地州调查研究及资料收集，为政府加强对矿业权市场的宏观调控起到重要作用。</w:t>
      </w:r>
    </w:p>
    <w:p>
      <w:pPr>
        <w:spacing w:line="600" w:lineRule="exact"/>
        <w:ind w:firstLine="300" w:firstLineChars="100"/>
        <w:rPr>
          <w:rFonts w:ascii="方正黑体_GBK" w:hAnsi="方正黑体_GBK" w:eastAsia="方正黑体_GBK" w:cs="方正黑体_GBK"/>
          <w:b/>
          <w:bCs/>
          <w:sz w:val="30"/>
          <w:szCs w:val="30"/>
        </w:rPr>
      </w:pPr>
      <w:r>
        <w:rPr>
          <w:rFonts w:hint="eastAsia" w:ascii="方正黑体_GBK" w:hAnsi="方正黑体_GBK" w:eastAsia="方正黑体_GBK" w:cs="方正黑体_GBK"/>
          <w:b/>
          <w:bCs/>
          <w:sz w:val="30"/>
          <w:szCs w:val="30"/>
        </w:rPr>
        <w:t>四、绩效评价指标分析</w:t>
      </w:r>
    </w:p>
    <w:p>
      <w:pPr>
        <w:pStyle w:val="55"/>
        <w:ind w:left="420" w:firstLine="562"/>
        <w:rPr>
          <w:rFonts w:ascii="仿宋" w:hAnsi="仿宋" w:eastAsia="仿宋" w:cs="仿宋"/>
          <w:i w:val="0"/>
          <w:iCs w:val="0"/>
          <w:sz w:val="30"/>
          <w:szCs w:val="30"/>
        </w:rPr>
      </w:pPr>
      <w:r>
        <w:rPr>
          <w:rFonts w:hint="eastAsia" w:ascii="仿宋" w:hAnsi="仿宋" w:eastAsia="仿宋" w:cs="仿宋"/>
          <w:i w:val="0"/>
          <w:iCs w:val="0"/>
          <w:sz w:val="30"/>
          <w:szCs w:val="30"/>
        </w:rPr>
        <w:t>（一）项目决策情况</w:t>
      </w:r>
    </w:p>
    <w:p>
      <w:pPr>
        <w:overflowPunct w:val="0"/>
        <w:spacing w:line="560" w:lineRule="exact"/>
        <w:ind w:firstLine="600" w:firstLineChars="200"/>
        <w:contextualSpacing/>
        <w:rPr>
          <w:rFonts w:ascii="仿宋" w:hAnsi="仿宋" w:eastAsia="仿宋" w:cs="仿宋"/>
          <w:sz w:val="30"/>
          <w:szCs w:val="30"/>
        </w:rPr>
      </w:pPr>
      <w:r>
        <w:rPr>
          <w:rFonts w:hint="eastAsia" w:ascii="仿宋" w:hAnsi="仿宋" w:eastAsia="仿宋" w:cs="仿宋"/>
          <w:sz w:val="30"/>
          <w:szCs w:val="30"/>
        </w:rPr>
        <w:t>项目决策类指标包括项目立项、绩效目标和资金投入三方面的内容，由</w:t>
      </w:r>
      <w:r>
        <w:rPr>
          <w:rFonts w:hint="eastAsia" w:ascii="仿宋" w:hAnsi="仿宋" w:eastAsia="仿宋" w:cs="仿宋"/>
          <w:sz w:val="30"/>
          <w:szCs w:val="30"/>
          <w:lang w:val="en-US" w:eastAsia="zh-CN"/>
        </w:rPr>
        <w:t>6</w:t>
      </w:r>
      <w:r>
        <w:rPr>
          <w:rFonts w:hint="eastAsia" w:ascii="仿宋" w:hAnsi="仿宋" w:eastAsia="仿宋" w:cs="仿宋"/>
          <w:sz w:val="30"/>
          <w:szCs w:val="30"/>
        </w:rPr>
        <w:t>个三级指标构成，权重分为10分，实际得分10分，得分率为100%。</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（1）立项依据充分性：</w:t>
      </w:r>
      <w:r>
        <w:rPr>
          <w:rFonts w:hint="eastAsia" w:ascii="仿宋" w:hAnsi="仿宋" w:eastAsia="仿宋" w:cs="仿宋"/>
          <w:sz w:val="30"/>
          <w:szCs w:val="30"/>
        </w:rPr>
        <w:t>根据新疆维吾尔自治区自然资源厅职责组织实施。围绕新疆维吾尔自治区自然资源厅年度工作重点和工作计划制定经费预算，根据评分标准，该指标不扣分，得2分。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（2）立项程序规范性：</w:t>
      </w:r>
      <w:r>
        <w:rPr>
          <w:rFonts w:hint="eastAsia" w:ascii="仿宋" w:hAnsi="仿宋" w:eastAsia="仿宋" w:cs="仿宋"/>
          <w:sz w:val="30"/>
          <w:szCs w:val="30"/>
        </w:rPr>
        <w:t>根据决策依据编制工作计划和经费预算，经过与新疆维吾尔自治区自然资源厅财经领导小组进行沟通、筛选确定经费预算计划，上厅务会研究确定最终预算方案，根据评分标准，该指标不扣分，得2分。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（3）绩效目标合理性：</w:t>
      </w:r>
      <w:r>
        <w:rPr>
          <w:rFonts w:hint="eastAsia" w:ascii="仿宋" w:hAnsi="仿宋" w:eastAsia="仿宋" w:cs="仿宋"/>
          <w:sz w:val="30"/>
          <w:szCs w:val="30"/>
        </w:rPr>
        <w:t>制定了实施方案，明确了总体思路及目标、并对任务进行了详细分解，对目标进行了细化，根据评分标准，该指标不扣分，得2分。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（4）绩效指标明确性：</w:t>
      </w:r>
      <w:r>
        <w:rPr>
          <w:rFonts w:hint="eastAsia" w:ascii="仿宋" w:hAnsi="仿宋" w:eastAsia="仿宋" w:cs="仿宋"/>
          <w:sz w:val="30"/>
          <w:szCs w:val="30"/>
        </w:rPr>
        <w:t>将项目绩效目标细化分解为具体的绩效指标，根据评分标准，该指标不扣分，得2分。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（5）预算编制科学性：</w:t>
      </w:r>
      <w:r>
        <w:rPr>
          <w:rFonts w:hint="eastAsia" w:ascii="仿宋" w:hAnsi="仿宋" w:eastAsia="仿宋" w:cs="仿宋"/>
          <w:sz w:val="30"/>
          <w:szCs w:val="30"/>
        </w:rPr>
        <w:t>实际完成内容与项目内容匹配，项目投资额与工作任务相匹配，根据评分标准，该指标不扣分，得1分。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（6）资金分配合理性：</w:t>
      </w:r>
      <w:r>
        <w:rPr>
          <w:rFonts w:hint="eastAsia" w:ascii="仿宋" w:hAnsi="仿宋" w:eastAsia="仿宋" w:cs="仿宋"/>
          <w:sz w:val="30"/>
          <w:szCs w:val="30"/>
        </w:rPr>
        <w:t>资金分配按照年初预算和项目实施方案实施，资金分配与实际相适应，根据评分标准，该指标不扣分，得1分。</w:t>
      </w:r>
    </w:p>
    <w:p>
      <w:pPr>
        <w:spacing w:line="56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（二）项目过程情况</w:t>
      </w:r>
    </w:p>
    <w:p>
      <w:pPr>
        <w:overflowPunct w:val="0"/>
        <w:spacing w:line="560" w:lineRule="exact"/>
        <w:ind w:firstLine="600" w:firstLineChars="200"/>
        <w:contextualSpacing/>
        <w:rPr>
          <w:rFonts w:ascii="仿宋" w:hAnsi="仿宋" w:eastAsia="仿宋" w:cs="仿宋"/>
          <w:sz w:val="30"/>
          <w:szCs w:val="30"/>
        </w:rPr>
      </w:pPr>
      <w:r>
        <w:rPr>
          <w:rFonts w:hint="eastAsia" w:ascii="仿宋" w:hAnsi="仿宋" w:eastAsia="仿宋" w:cs="仿宋"/>
          <w:sz w:val="30"/>
          <w:szCs w:val="30"/>
        </w:rPr>
        <w:t>项目过程类指标包括资金管理和组织实施两方面的内容，由5个三级指标构成，权重分为20分，实际得分20分，得分率为100%。</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（1）资金到位率：</w:t>
      </w:r>
      <w:r>
        <w:rPr>
          <w:rFonts w:hint="eastAsia" w:ascii="仿宋" w:hAnsi="仿宋" w:eastAsia="仿宋" w:cs="仿宋"/>
          <w:sz w:val="30"/>
          <w:szCs w:val="30"/>
        </w:rPr>
        <w:t>该项目总投资</w:t>
      </w:r>
      <w:r>
        <w:rPr>
          <w:rFonts w:hint="eastAsia" w:ascii="仿宋" w:hAnsi="仿宋" w:eastAsia="仿宋" w:cs="仿宋"/>
          <w:sz w:val="30"/>
          <w:szCs w:val="30"/>
          <w:lang w:val="en-US" w:eastAsia="zh-CN"/>
        </w:rPr>
        <w:t>150</w:t>
      </w:r>
      <w:r>
        <w:rPr>
          <w:rFonts w:hint="eastAsia" w:ascii="仿宋" w:hAnsi="仿宋" w:eastAsia="仿宋" w:cs="仿宋"/>
          <w:sz w:val="30"/>
          <w:szCs w:val="30"/>
        </w:rPr>
        <w:t>万元，财政厅实际下达经费</w:t>
      </w:r>
      <w:r>
        <w:rPr>
          <w:rFonts w:hint="eastAsia" w:ascii="仿宋" w:hAnsi="仿宋" w:eastAsia="仿宋" w:cs="仿宋"/>
          <w:sz w:val="30"/>
          <w:szCs w:val="30"/>
          <w:lang w:val="en-US" w:eastAsia="zh-CN"/>
        </w:rPr>
        <w:t>150</w:t>
      </w:r>
      <w:r>
        <w:rPr>
          <w:rFonts w:hint="eastAsia" w:ascii="仿宋" w:hAnsi="仿宋" w:eastAsia="仿宋" w:cs="仿宋"/>
          <w:sz w:val="30"/>
          <w:szCs w:val="30"/>
        </w:rPr>
        <w:t>万元，其中当年财政拨款</w:t>
      </w:r>
      <w:r>
        <w:rPr>
          <w:rFonts w:hint="eastAsia" w:ascii="仿宋" w:hAnsi="仿宋" w:eastAsia="仿宋" w:cs="仿宋"/>
          <w:sz w:val="30"/>
          <w:szCs w:val="30"/>
          <w:lang w:val="en-US" w:eastAsia="zh-CN"/>
        </w:rPr>
        <w:t>150</w:t>
      </w:r>
      <w:r>
        <w:rPr>
          <w:rFonts w:hint="eastAsia" w:ascii="仿宋" w:hAnsi="仿宋" w:eastAsia="仿宋" w:cs="仿宋"/>
          <w:sz w:val="30"/>
          <w:szCs w:val="30"/>
        </w:rPr>
        <w:t>万元财政资金足额拨付到位，根据评分标准，该指标不扣分，得5分。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（2）预算执行率：</w:t>
      </w:r>
      <w:r>
        <w:rPr>
          <w:rFonts w:hint="eastAsia" w:ascii="仿宋" w:hAnsi="仿宋" w:eastAsia="仿宋" w:cs="仿宋"/>
          <w:sz w:val="30"/>
          <w:szCs w:val="30"/>
        </w:rPr>
        <w:t>本项目申请预算金额为</w:t>
      </w:r>
      <w:r>
        <w:rPr>
          <w:rFonts w:hint="eastAsia" w:ascii="仿宋" w:hAnsi="仿宋" w:eastAsia="仿宋" w:cs="仿宋"/>
          <w:sz w:val="30"/>
          <w:szCs w:val="30"/>
          <w:lang w:val="en-US" w:eastAsia="zh-CN"/>
        </w:rPr>
        <w:t>150</w:t>
      </w:r>
      <w:r>
        <w:rPr>
          <w:rFonts w:hint="eastAsia" w:ascii="仿宋" w:hAnsi="仿宋" w:eastAsia="仿宋" w:cs="仿宋"/>
          <w:sz w:val="30"/>
          <w:szCs w:val="30"/>
        </w:rPr>
        <w:t>万元，预算批复实际下达金额为</w:t>
      </w:r>
      <w:r>
        <w:rPr>
          <w:rFonts w:hint="eastAsia" w:ascii="仿宋" w:hAnsi="仿宋" w:eastAsia="仿宋" w:cs="仿宋"/>
          <w:sz w:val="30"/>
          <w:szCs w:val="30"/>
          <w:lang w:val="en-US" w:eastAsia="zh-CN"/>
        </w:rPr>
        <w:t>150</w:t>
      </w:r>
      <w:r>
        <w:rPr>
          <w:rFonts w:hint="eastAsia" w:ascii="仿宋" w:hAnsi="仿宋" w:eastAsia="仿宋" w:cs="仿宋"/>
          <w:sz w:val="30"/>
          <w:szCs w:val="30"/>
        </w:rPr>
        <w:t>万元，截至202</w:t>
      </w:r>
      <w:r>
        <w:rPr>
          <w:rFonts w:hint="eastAsia" w:ascii="仿宋" w:hAnsi="仿宋" w:eastAsia="仿宋" w:cs="仿宋"/>
          <w:sz w:val="30"/>
          <w:szCs w:val="30"/>
          <w:lang w:val="en-US" w:eastAsia="zh-CN"/>
        </w:rPr>
        <w:t>5</w:t>
      </w:r>
      <w:r>
        <w:rPr>
          <w:rFonts w:hint="eastAsia" w:ascii="仿宋" w:hAnsi="仿宋" w:eastAsia="仿宋" w:cs="仿宋"/>
          <w:sz w:val="30"/>
          <w:szCs w:val="30"/>
        </w:rPr>
        <w:t>年12月31日，资金执行</w:t>
      </w:r>
      <w:r>
        <w:rPr>
          <w:rFonts w:hint="eastAsia" w:ascii="仿宋" w:hAnsi="仿宋" w:eastAsia="仿宋" w:cs="仿宋"/>
          <w:sz w:val="30"/>
          <w:szCs w:val="30"/>
          <w:lang w:val="en-US" w:eastAsia="zh-CN"/>
        </w:rPr>
        <w:t>150</w:t>
      </w:r>
      <w:r>
        <w:rPr>
          <w:rFonts w:hint="eastAsia" w:ascii="仿宋" w:hAnsi="仿宋" w:eastAsia="仿宋" w:cs="仿宋"/>
          <w:sz w:val="30"/>
          <w:szCs w:val="30"/>
        </w:rPr>
        <w:t>万元，资金执行率100.00%。项目资金支出总体能够按照预算执行，根据评分标准，该指标不扣分，得5分。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（3）资金使用合规性：</w:t>
      </w:r>
      <w:r>
        <w:rPr>
          <w:rFonts w:hint="eastAsia" w:ascii="仿宋" w:hAnsi="仿宋" w:eastAsia="仿宋" w:cs="仿宋"/>
          <w:sz w:val="30"/>
          <w:szCs w:val="30"/>
        </w:rPr>
        <w:t>符合预算批复规定用途，不存在截留、挤占、挪用、虚列支出等情况，未发现违规使用情况，根据评分标准，该指标不扣分，得5分。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（4）管理制度健全性：</w:t>
      </w:r>
      <w:r>
        <w:rPr>
          <w:rFonts w:hint="eastAsia" w:ascii="仿宋" w:hAnsi="仿宋" w:eastAsia="仿宋" w:cs="仿宋"/>
          <w:sz w:val="30"/>
          <w:szCs w:val="30"/>
        </w:rPr>
        <w:t>该项目严格按照《新疆维吾尔自治区自然资源厅财务制度》及业务活动经费相关的制度和管理规定实施，对财政专项资金进行严格管理，基本做到了专款专用，根据评分标准，该指标不扣分，得2分。</w:t>
      </w:r>
    </w:p>
    <w:p>
      <w:pPr>
        <w:overflowPunct w:val="0"/>
        <w:spacing w:line="560" w:lineRule="exact"/>
        <w:ind w:firstLine="602" w:firstLineChars="200"/>
        <w:contextualSpacing/>
        <w:rPr>
          <w:rFonts w:ascii="仿宋" w:hAnsi="仿宋" w:eastAsia="仿宋" w:cs="仿宋"/>
          <w:sz w:val="30"/>
          <w:szCs w:val="30"/>
        </w:rPr>
      </w:pPr>
      <w:r>
        <w:rPr>
          <w:rFonts w:hint="eastAsia" w:ascii="仿宋" w:hAnsi="仿宋" w:eastAsia="仿宋" w:cs="仿宋"/>
          <w:b/>
          <w:bCs/>
          <w:sz w:val="30"/>
          <w:szCs w:val="30"/>
        </w:rPr>
        <w:t>（5）制度执行有效性：</w:t>
      </w:r>
      <w:r>
        <w:rPr>
          <w:rFonts w:hint="eastAsia" w:ascii="仿宋" w:hAnsi="仿宋" w:eastAsia="仿宋" w:cs="仿宋"/>
          <w:sz w:val="30"/>
          <w:szCs w:val="30"/>
        </w:rPr>
        <w:t>由部门提出经费预算支出可行性方案，经过与财经领导小组沟通后，财务对资金的使用合法合规性进行监督，年底对资金使用效果进行自评，根据评分标准，该指标不扣分，得3分。</w:t>
      </w:r>
    </w:p>
    <w:p>
      <w:pPr>
        <w:overflowPunct w:val="0"/>
        <w:spacing w:line="560" w:lineRule="exact"/>
        <w:ind w:firstLine="600" w:firstLineChars="200"/>
        <w:contextualSpacing/>
        <w:rPr>
          <w:rFonts w:ascii="仿宋" w:hAnsi="仿宋" w:eastAsia="仿宋" w:cs="仿宋"/>
          <w:sz w:val="30"/>
          <w:szCs w:val="30"/>
        </w:rPr>
      </w:pPr>
      <w:r>
        <w:rPr>
          <w:rFonts w:hint="eastAsia" w:ascii="仿宋" w:hAnsi="仿宋" w:eastAsia="仿宋" w:cs="仿宋"/>
          <w:sz w:val="30"/>
          <w:szCs w:val="30"/>
        </w:rPr>
        <w:t>本项目总投资</w:t>
      </w:r>
      <w:r>
        <w:rPr>
          <w:rFonts w:hint="eastAsia" w:ascii="仿宋" w:hAnsi="仿宋" w:eastAsia="仿宋" w:cs="仿宋"/>
          <w:sz w:val="30"/>
          <w:szCs w:val="30"/>
          <w:lang w:val="en-US" w:eastAsia="zh-CN"/>
        </w:rPr>
        <w:t>150</w:t>
      </w:r>
      <w:r>
        <w:rPr>
          <w:rFonts w:hint="eastAsia" w:ascii="仿宋" w:hAnsi="仿宋" w:eastAsia="仿宋" w:cs="仿宋"/>
          <w:sz w:val="30"/>
          <w:szCs w:val="30"/>
        </w:rPr>
        <w:t>万元，资金的到位率100%，执行率100%，项目严格按照预期绩效目标执行预算资金。在项目资金拨付和使用过程中，为确保项目资金的安全性，提高项目资金使用效率，严格遵循自治区财政厅资金的拨付程序，认真审核项目实施各阶段的相关材料和手续，根据项目实施进展情况拨付资金。</w:t>
      </w:r>
    </w:p>
    <w:p>
      <w:pPr>
        <w:overflowPunct w:val="0"/>
        <w:spacing w:line="560" w:lineRule="exact"/>
        <w:ind w:firstLine="600" w:firstLineChars="200"/>
        <w:contextualSpacing/>
        <w:rPr>
          <w:rFonts w:ascii="仿宋" w:hAnsi="仿宋" w:eastAsia="仿宋" w:cs="仿宋"/>
          <w:sz w:val="30"/>
          <w:szCs w:val="30"/>
        </w:rPr>
      </w:pPr>
      <w:r>
        <w:rPr>
          <w:rFonts w:hint="eastAsia" w:ascii="仿宋" w:hAnsi="仿宋" w:eastAsia="仿宋" w:cs="仿宋"/>
          <w:sz w:val="30"/>
          <w:szCs w:val="30"/>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ind w:left="420" w:leftChars="200" w:firstLine="562"/>
        <w:jc w:val="both"/>
        <w:rPr>
          <w:rFonts w:ascii="仿宋" w:hAnsi="仿宋" w:eastAsia="仿宋" w:cs="仿宋"/>
          <w:kern w:val="0"/>
          <w:sz w:val="30"/>
          <w:szCs w:val="30"/>
        </w:rPr>
      </w:pPr>
      <w:r>
        <w:rPr>
          <w:rFonts w:hint="eastAsia" w:ascii="仿宋" w:hAnsi="仿宋" w:eastAsia="仿宋" w:cs="仿宋"/>
          <w:kern w:val="0"/>
          <w:sz w:val="30"/>
          <w:szCs w:val="30"/>
        </w:rPr>
        <w:t>（三）项目产出情况</w:t>
      </w:r>
    </w:p>
    <w:p>
      <w:pPr>
        <w:spacing w:line="560" w:lineRule="exact"/>
        <w:ind w:firstLine="600" w:firstLineChars="200"/>
        <w:rPr>
          <w:sz w:val="30"/>
          <w:szCs w:val="30"/>
        </w:rPr>
      </w:pPr>
      <w:r>
        <w:rPr>
          <w:rFonts w:hint="eastAsia" w:ascii="仿宋" w:hAnsi="仿宋" w:eastAsia="仿宋" w:cs="仿宋"/>
          <w:sz w:val="30"/>
          <w:szCs w:val="30"/>
        </w:rPr>
        <w:t>项目产出类指标包括产出数量、产出质量、产出时效、产出成本四方面的内容，由</w:t>
      </w:r>
      <w:r>
        <w:rPr>
          <w:rFonts w:hint="eastAsia" w:ascii="仿宋" w:hAnsi="仿宋" w:eastAsia="仿宋" w:cs="仿宋"/>
          <w:sz w:val="30"/>
          <w:szCs w:val="30"/>
          <w:lang w:val="en-US" w:eastAsia="zh-CN"/>
        </w:rPr>
        <w:t>5</w:t>
      </w:r>
      <w:r>
        <w:rPr>
          <w:rFonts w:hint="eastAsia" w:ascii="仿宋" w:hAnsi="仿宋" w:eastAsia="仿宋" w:cs="仿宋"/>
          <w:sz w:val="30"/>
          <w:szCs w:val="30"/>
        </w:rPr>
        <w:t>个三级指标构成，权重分为40分，实际得分40分，得分率为100%。</w:t>
      </w:r>
    </w:p>
    <w:p>
      <w:pPr>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（1）对于“产出数量”：</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形成</w:t>
      </w:r>
      <w:r>
        <w:rPr>
          <w:rFonts w:hint="eastAsia" w:ascii="仿宋" w:hAnsi="仿宋" w:eastAsia="仿宋" w:cs="宋体"/>
          <w:sz w:val="30"/>
          <w:szCs w:val="30"/>
        </w:rPr>
        <w:t>《新疆战略性、紧缺矿产资源基本形势、供给分析和应对措施研究—以锂、钒、钛、铜等矿产资源为例研究项目》</w:t>
      </w:r>
      <w:r>
        <w:rPr>
          <w:rFonts w:hint="eastAsia" w:ascii="仿宋" w:hAnsi="仿宋" w:eastAsia="仿宋" w:cs="宋体"/>
          <w:sz w:val="30"/>
          <w:szCs w:val="30"/>
          <w:lang w:val="en-US" w:eastAsia="zh-CN"/>
        </w:rPr>
        <w:t>实施方案</w:t>
      </w:r>
      <w:r>
        <w:rPr>
          <w:rFonts w:hint="eastAsia" w:ascii="仿宋" w:hAnsi="仿宋" w:eastAsia="仿宋" w:cs="仿宋"/>
          <w:sz w:val="30"/>
          <w:szCs w:val="30"/>
        </w:rPr>
        <w:t>1个，与预期目标一致，根据评分标准，该指标不扣分，得</w:t>
      </w:r>
      <w:r>
        <w:rPr>
          <w:rFonts w:hint="eastAsia" w:ascii="仿宋" w:hAnsi="仿宋" w:eastAsia="仿宋" w:cs="仿宋"/>
          <w:sz w:val="30"/>
          <w:szCs w:val="30"/>
          <w:lang w:val="en-US" w:eastAsia="zh-CN"/>
        </w:rPr>
        <w:t>2</w:t>
      </w:r>
      <w:r>
        <w:rPr>
          <w:rFonts w:hint="eastAsia" w:ascii="仿宋" w:hAnsi="仿宋" w:eastAsia="仿宋" w:cs="仿宋"/>
          <w:sz w:val="30"/>
          <w:szCs w:val="30"/>
        </w:rPr>
        <w:t>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形</w:t>
      </w:r>
      <w:r>
        <w:rPr>
          <w:rFonts w:hint="eastAsia" w:ascii="仿宋" w:hAnsi="仿宋" w:eastAsia="仿宋" w:cs="仿宋"/>
          <w:sz w:val="30"/>
          <w:szCs w:val="30"/>
        </w:rPr>
        <w:t>成</w:t>
      </w:r>
      <w:r>
        <w:rPr>
          <w:rFonts w:hint="eastAsia" w:ascii="仿宋" w:hAnsi="仿宋" w:eastAsia="仿宋" w:cs="宋体"/>
          <w:sz w:val="30"/>
          <w:szCs w:val="30"/>
          <w:lang w:val="en-US" w:eastAsia="zh-CN"/>
        </w:rPr>
        <w:t>《新疆战略性矿产资源产业链发展研究项目》实施方案</w:t>
      </w:r>
      <w:r>
        <w:rPr>
          <w:rFonts w:hint="eastAsia" w:ascii="仿宋" w:hAnsi="仿宋" w:eastAsia="仿宋" w:cs="仿宋"/>
          <w:sz w:val="30"/>
          <w:szCs w:val="30"/>
        </w:rPr>
        <w:t>1个，与预期目标一致，根据评分标准，该指标不扣分，得</w:t>
      </w:r>
      <w:r>
        <w:rPr>
          <w:rFonts w:hint="eastAsia" w:ascii="仿宋" w:hAnsi="仿宋" w:eastAsia="仿宋" w:cs="仿宋"/>
          <w:sz w:val="30"/>
          <w:szCs w:val="30"/>
          <w:lang w:val="en-US" w:eastAsia="zh-CN"/>
        </w:rPr>
        <w:t>2</w:t>
      </w:r>
      <w:r>
        <w:rPr>
          <w:rFonts w:hint="eastAsia" w:ascii="仿宋" w:hAnsi="仿宋" w:eastAsia="仿宋" w:cs="仿宋"/>
          <w:sz w:val="30"/>
          <w:szCs w:val="30"/>
        </w:rPr>
        <w:t>分。</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形成</w:t>
      </w:r>
      <w:r>
        <w:rPr>
          <w:rFonts w:hint="eastAsia" w:ascii="仿宋" w:hAnsi="仿宋" w:eastAsia="仿宋" w:cs="宋体"/>
          <w:sz w:val="30"/>
          <w:szCs w:val="30"/>
          <w:lang w:val="en-US" w:eastAsia="zh-CN"/>
        </w:rPr>
        <w:t>《新疆重要矿产品盈亏临界点分析及矿产品价格波动影响研究项目》实施方案</w:t>
      </w:r>
      <w:r>
        <w:rPr>
          <w:rFonts w:hint="eastAsia" w:ascii="仿宋" w:hAnsi="仿宋" w:eastAsia="仿宋" w:cs="仿宋"/>
          <w:sz w:val="30"/>
          <w:szCs w:val="30"/>
        </w:rPr>
        <w:t>1个，与预期目标一致，根据评分标准，该指标不扣分，得</w:t>
      </w:r>
      <w:r>
        <w:rPr>
          <w:rFonts w:hint="eastAsia" w:ascii="仿宋" w:hAnsi="仿宋" w:eastAsia="仿宋" w:cs="仿宋"/>
          <w:sz w:val="30"/>
          <w:szCs w:val="30"/>
          <w:lang w:val="en-US" w:eastAsia="zh-CN"/>
        </w:rPr>
        <w:t>2</w:t>
      </w:r>
      <w:r>
        <w:rPr>
          <w:rFonts w:hint="eastAsia" w:ascii="仿宋" w:hAnsi="仿宋" w:eastAsia="仿宋" w:cs="仿宋"/>
          <w:sz w:val="30"/>
          <w:szCs w:val="30"/>
        </w:rPr>
        <w:t>分。</w:t>
      </w:r>
    </w:p>
    <w:p>
      <w:pPr>
        <w:spacing w:line="560" w:lineRule="exact"/>
        <w:ind w:firstLine="600" w:firstLineChars="200"/>
        <w:rPr>
          <w:rFonts w:hint="eastAsia" w:ascii="仿宋" w:hAnsi="仿宋" w:eastAsia="仿宋" w:cs="仿宋"/>
          <w:sz w:val="30"/>
          <w:szCs w:val="30"/>
        </w:rPr>
      </w:pPr>
      <w:r>
        <w:rPr>
          <w:rFonts w:hint="eastAsia" w:ascii="仿宋" w:hAnsi="仿宋" w:eastAsia="仿宋" w:cs="宋体"/>
          <w:sz w:val="30"/>
          <w:szCs w:val="30"/>
          <w:lang w:val="en-US" w:eastAsia="zh-CN"/>
        </w:rPr>
        <w:t>形成《推动新疆砂砾地等宜耕土地资源纳入耕地后备资源及开发利用研究项目》实施方案</w:t>
      </w:r>
      <w:r>
        <w:rPr>
          <w:rFonts w:hint="eastAsia" w:ascii="仿宋" w:hAnsi="仿宋" w:eastAsia="仿宋" w:cs="仿宋"/>
          <w:sz w:val="30"/>
          <w:szCs w:val="30"/>
        </w:rPr>
        <w:t>1个，与预期目标一致，根据评分标准，该指标不扣分，得</w:t>
      </w:r>
      <w:r>
        <w:rPr>
          <w:rFonts w:hint="eastAsia" w:ascii="仿宋" w:hAnsi="仿宋" w:eastAsia="仿宋" w:cs="仿宋"/>
          <w:sz w:val="30"/>
          <w:szCs w:val="30"/>
          <w:lang w:val="en-US" w:eastAsia="zh-CN"/>
        </w:rPr>
        <w:t>2</w:t>
      </w:r>
      <w:r>
        <w:rPr>
          <w:rFonts w:hint="eastAsia" w:ascii="仿宋" w:hAnsi="仿宋" w:eastAsia="仿宋" w:cs="仿宋"/>
          <w:sz w:val="30"/>
          <w:szCs w:val="30"/>
        </w:rPr>
        <w:t>分。</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完成疆内地州调查研究及资料收集6个，与预期目标一致，根据评分标准，该指标不扣分，得1分。</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完成工作调研2次，</w:t>
      </w:r>
      <w:r>
        <w:rPr>
          <w:rFonts w:hint="eastAsia" w:ascii="仿宋" w:hAnsi="仿宋" w:eastAsia="仿宋" w:cs="仿宋"/>
          <w:sz w:val="30"/>
          <w:szCs w:val="30"/>
        </w:rPr>
        <w:t>与预期目标一致，根据评分标准，该指标不扣分，得1分。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合计得10分。</w:t>
      </w:r>
    </w:p>
    <w:p>
      <w:pPr>
        <w:numPr>
          <w:ilvl w:val="0"/>
          <w:numId w:val="9"/>
        </w:numPr>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对于“产出质量”：</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研究报告最终通过率</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val="en-US" w:eastAsia="zh-CN"/>
        </w:rPr>
        <w:t>超出</w:t>
      </w:r>
      <w:r>
        <w:rPr>
          <w:rFonts w:hint="eastAsia" w:ascii="仿宋" w:hAnsi="仿宋" w:eastAsia="仿宋" w:cs="仿宋"/>
          <w:sz w:val="30"/>
          <w:szCs w:val="30"/>
        </w:rPr>
        <w:t>预期目标，根据评分标准，该指标不扣分，得10分。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合计得10分。</w:t>
      </w:r>
    </w:p>
    <w:p>
      <w:pPr>
        <w:numPr>
          <w:ilvl w:val="0"/>
          <w:numId w:val="9"/>
        </w:numPr>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对于“产出时效”：</w:t>
      </w:r>
    </w:p>
    <w:p>
      <w:pPr>
        <w:pStyle w:val="37"/>
        <w:spacing w:line="560" w:lineRule="exact"/>
        <w:rPr>
          <w:rFonts w:ascii="仿宋" w:hAnsi="仿宋" w:eastAsia="仿宋" w:cs="仿宋"/>
          <w:sz w:val="30"/>
          <w:szCs w:val="30"/>
          <w:lang w:eastAsia="zh-CN"/>
        </w:rPr>
      </w:pPr>
      <w:r>
        <w:rPr>
          <w:rFonts w:hint="eastAsia" w:ascii="仿宋" w:hAnsi="仿宋" w:eastAsia="仿宋" w:cs="仿宋"/>
          <w:sz w:val="30"/>
          <w:szCs w:val="30"/>
          <w:lang w:eastAsia="zh-CN"/>
        </w:rPr>
        <w:t>项目按时结题率100%，与预期目标一致，根据评分标准，该</w:t>
      </w:r>
    </w:p>
    <w:p>
      <w:pPr>
        <w:spacing w:line="560" w:lineRule="exact"/>
        <w:rPr>
          <w:rFonts w:ascii="仿宋" w:hAnsi="仿宋" w:eastAsia="仿宋" w:cs="仿宋"/>
          <w:sz w:val="30"/>
          <w:szCs w:val="30"/>
        </w:rPr>
      </w:pPr>
      <w:r>
        <w:rPr>
          <w:rFonts w:hint="eastAsia" w:ascii="仿宋" w:hAnsi="仿宋" w:eastAsia="仿宋" w:cs="仿宋"/>
          <w:sz w:val="30"/>
          <w:szCs w:val="30"/>
        </w:rPr>
        <w:t>指标不扣分，得10分。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合计得10分。</w:t>
      </w:r>
    </w:p>
    <w:p>
      <w:pPr>
        <w:numPr>
          <w:ilvl w:val="0"/>
          <w:numId w:val="9"/>
        </w:numPr>
        <w:spacing w:line="56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对于“产出成本”：</w:t>
      </w:r>
    </w:p>
    <w:p>
      <w:pPr>
        <w:pStyle w:val="54"/>
        <w:spacing w:line="560" w:lineRule="exact"/>
        <w:ind w:firstLine="585" w:firstLineChars="195"/>
        <w:rPr>
          <w:rFonts w:ascii="仿宋" w:hAnsi="仿宋" w:eastAsia="仿宋" w:cs="仿宋"/>
          <w:kern w:val="2"/>
          <w:sz w:val="30"/>
          <w:szCs w:val="30"/>
        </w:rPr>
      </w:pPr>
      <w:r>
        <w:rPr>
          <w:rFonts w:hint="eastAsia" w:ascii="仿宋" w:hAnsi="仿宋" w:eastAsia="仿宋" w:cs="仿宋"/>
          <w:color w:val="000000"/>
          <w:kern w:val="2"/>
          <w:sz w:val="30"/>
          <w:szCs w:val="30"/>
          <w:lang w:val="en-US" w:eastAsia="zh-CN"/>
        </w:rPr>
        <w:t>专家评审费（每人每次）</w:t>
      </w:r>
      <w:r>
        <w:rPr>
          <w:rFonts w:hint="eastAsia" w:ascii="仿宋" w:hAnsi="仿宋" w:eastAsia="仿宋" w:cs="仿宋"/>
          <w:sz w:val="30"/>
          <w:szCs w:val="30"/>
          <w:lang w:val="en-US" w:eastAsia="zh-CN"/>
        </w:rPr>
        <w:t>≤1200元，</w:t>
      </w:r>
      <w:r>
        <w:rPr>
          <w:rFonts w:hint="eastAsia" w:ascii="仿宋" w:hAnsi="仿宋" w:eastAsia="仿宋" w:cs="仿宋"/>
          <w:sz w:val="30"/>
          <w:szCs w:val="30"/>
        </w:rPr>
        <w:t>与预期目标一致，根据评分标准，该指标不扣分，得</w:t>
      </w:r>
      <w:r>
        <w:rPr>
          <w:rFonts w:hint="eastAsia" w:ascii="仿宋" w:hAnsi="仿宋" w:eastAsia="仿宋" w:cs="仿宋"/>
          <w:sz w:val="30"/>
          <w:szCs w:val="30"/>
          <w:lang w:val="en-US" w:eastAsia="zh-CN"/>
        </w:rPr>
        <w:t>10</w:t>
      </w:r>
      <w:r>
        <w:rPr>
          <w:rFonts w:hint="eastAsia" w:ascii="仿宋" w:hAnsi="仿宋" w:eastAsia="仿宋" w:cs="仿宋"/>
          <w:sz w:val="30"/>
          <w:szCs w:val="30"/>
        </w:rPr>
        <w:t>分。</w:t>
      </w:r>
      <w:r>
        <w:rPr>
          <w:rFonts w:hint="eastAsia" w:ascii="仿宋" w:hAnsi="仿宋" w:eastAsia="仿宋" w:cs="仿宋"/>
          <w:kern w:val="2"/>
          <w:sz w:val="30"/>
          <w:szCs w:val="30"/>
        </w:rPr>
        <w:t xml:space="preserve"> </w:t>
      </w:r>
    </w:p>
    <w:p>
      <w:pPr>
        <w:spacing w:line="560" w:lineRule="exact"/>
        <w:ind w:firstLine="600" w:firstLineChars="200"/>
        <w:rPr>
          <w:rFonts w:ascii="仿宋" w:hAnsi="仿宋" w:eastAsia="仿宋" w:cs="仿宋"/>
          <w:sz w:val="30"/>
          <w:szCs w:val="30"/>
        </w:rPr>
      </w:pPr>
      <w:r>
        <w:rPr>
          <w:rFonts w:hint="eastAsia" w:ascii="仿宋" w:hAnsi="仿宋" w:eastAsia="仿宋" w:cs="仿宋"/>
          <w:bCs/>
          <w:sz w:val="30"/>
          <w:szCs w:val="30"/>
        </w:rPr>
        <w:t>合计得10分。</w:t>
      </w:r>
    </w:p>
    <w:p>
      <w:pPr>
        <w:pStyle w:val="18"/>
        <w:numPr>
          <w:ilvl w:val="0"/>
          <w:numId w:val="10"/>
        </w:numPr>
        <w:spacing w:before="120" w:line="500" w:lineRule="exact"/>
        <w:ind w:firstLine="602" w:firstLineChars="200"/>
        <w:jc w:val="both"/>
        <w:rPr>
          <w:rFonts w:ascii="仿宋" w:hAnsi="仿宋" w:eastAsia="仿宋" w:cs="仿宋"/>
          <w:kern w:val="0"/>
          <w:sz w:val="30"/>
          <w:szCs w:val="30"/>
        </w:rPr>
      </w:pPr>
      <w:r>
        <w:rPr>
          <w:rFonts w:hint="eastAsia" w:ascii="仿宋" w:hAnsi="仿宋" w:eastAsia="仿宋" w:cs="仿宋"/>
          <w:kern w:val="0"/>
          <w:sz w:val="30"/>
          <w:szCs w:val="30"/>
        </w:rPr>
        <w:t>项目效益情况</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项目效益类指标包括社</w:t>
      </w:r>
      <w:r>
        <w:rPr>
          <w:rFonts w:hint="eastAsia" w:ascii="仿宋" w:hAnsi="仿宋" w:eastAsia="仿宋" w:cs="仿宋"/>
          <w:sz w:val="30"/>
          <w:szCs w:val="30"/>
          <w:lang w:val="en-US" w:eastAsia="zh-CN"/>
        </w:rPr>
        <w:t>会</w:t>
      </w:r>
      <w:r>
        <w:rPr>
          <w:rFonts w:hint="eastAsia" w:ascii="仿宋" w:hAnsi="仿宋" w:eastAsia="仿宋" w:cs="仿宋"/>
          <w:sz w:val="30"/>
          <w:szCs w:val="30"/>
        </w:rPr>
        <w:t>效益1个方面的内容，由</w:t>
      </w:r>
      <w:r>
        <w:rPr>
          <w:rFonts w:hint="eastAsia" w:ascii="仿宋" w:hAnsi="仿宋" w:eastAsia="仿宋" w:cs="仿宋"/>
          <w:sz w:val="30"/>
          <w:szCs w:val="30"/>
          <w:lang w:val="en-US" w:eastAsia="zh-CN"/>
        </w:rPr>
        <w:t>1</w:t>
      </w:r>
      <w:r>
        <w:rPr>
          <w:rFonts w:hint="eastAsia" w:ascii="仿宋" w:hAnsi="仿宋" w:eastAsia="仿宋" w:cs="仿宋"/>
          <w:sz w:val="30"/>
          <w:szCs w:val="30"/>
        </w:rPr>
        <w:t>个三级指标构成，权重分为30分，实际得分30分，得分率为100%。</w:t>
      </w:r>
    </w:p>
    <w:p>
      <w:pPr>
        <w:numPr>
          <w:ilvl w:val="0"/>
          <w:numId w:val="12"/>
        </w:numPr>
        <w:overflowPunct w:val="0"/>
        <w:spacing w:line="560" w:lineRule="exact"/>
        <w:ind w:left="562" w:firstLine="562"/>
        <w:contextualSpacing/>
        <w:rPr>
          <w:rFonts w:ascii="仿宋" w:hAnsi="仿宋" w:eastAsia="仿宋" w:cs="仿宋"/>
          <w:b/>
          <w:bCs/>
          <w:sz w:val="30"/>
          <w:szCs w:val="30"/>
        </w:rPr>
      </w:pPr>
      <w:r>
        <w:rPr>
          <w:rFonts w:hint="eastAsia" w:ascii="仿宋" w:hAnsi="仿宋" w:eastAsia="仿宋" w:cs="仿宋"/>
          <w:b/>
          <w:bCs/>
          <w:sz w:val="30"/>
          <w:szCs w:val="30"/>
        </w:rPr>
        <w:t>实施效益指标：</w:t>
      </w:r>
    </w:p>
    <w:p>
      <w:pPr>
        <w:spacing w:line="560" w:lineRule="exact"/>
        <w:ind w:firstLine="600" w:firstLineChars="200"/>
        <w:rPr>
          <w:rFonts w:ascii="仿宋" w:hAnsi="仿宋" w:eastAsia="仿宋" w:cs="仿宋"/>
          <w:sz w:val="30"/>
          <w:szCs w:val="30"/>
        </w:rPr>
      </w:pPr>
      <w:r>
        <w:rPr>
          <w:rFonts w:ascii="仿宋" w:hAnsi="仿宋" w:eastAsia="仿宋" w:cs="仿宋"/>
          <w:sz w:val="30"/>
          <w:szCs w:val="30"/>
        </w:rPr>
        <w:t>①</w:t>
      </w:r>
      <w:r>
        <w:rPr>
          <w:rFonts w:hint="eastAsia" w:ascii="仿宋" w:hAnsi="仿宋" w:eastAsia="仿宋" w:cs="仿宋"/>
          <w:sz w:val="30"/>
          <w:szCs w:val="30"/>
        </w:rPr>
        <w:t>对于“经济效益指标”：</w:t>
      </w:r>
    </w:p>
    <w:p>
      <w:pPr>
        <w:spacing w:line="560" w:lineRule="exact"/>
        <w:ind w:firstLine="562"/>
        <w:rPr>
          <w:rFonts w:ascii="仿宋" w:hAnsi="仿宋" w:eastAsia="仿宋" w:cs="仿宋"/>
          <w:sz w:val="30"/>
          <w:szCs w:val="30"/>
        </w:rPr>
      </w:pPr>
      <w:r>
        <w:rPr>
          <w:rFonts w:hint="eastAsia" w:ascii="仿宋" w:hAnsi="仿宋" w:eastAsia="仿宋" w:cs="仿宋"/>
          <w:sz w:val="30"/>
          <w:szCs w:val="30"/>
        </w:rPr>
        <w:t>本项目无该指标。</w:t>
      </w:r>
    </w:p>
    <w:p>
      <w:pPr>
        <w:spacing w:line="560" w:lineRule="exact"/>
        <w:ind w:firstLine="600" w:firstLineChars="200"/>
        <w:rPr>
          <w:rFonts w:ascii="仿宋" w:hAnsi="仿宋" w:eastAsia="仿宋" w:cs="仿宋"/>
          <w:kern w:val="2"/>
          <w:sz w:val="30"/>
          <w:szCs w:val="30"/>
        </w:rPr>
      </w:pPr>
      <w:r>
        <w:rPr>
          <w:rFonts w:hint="eastAsia" w:ascii="仿宋" w:hAnsi="仿宋" w:eastAsia="仿宋" w:cs="仿宋"/>
          <w:sz w:val="30"/>
          <w:szCs w:val="30"/>
        </w:rPr>
        <w:t>②对于“社会效益指标”：</w:t>
      </w:r>
      <w:r>
        <w:rPr>
          <w:rFonts w:hint="eastAsia" w:ascii="仿宋" w:hAnsi="仿宋" w:eastAsia="仿宋" w:cs="仿宋"/>
          <w:kern w:val="2"/>
          <w:sz w:val="30"/>
          <w:szCs w:val="30"/>
        </w:rPr>
        <w:t xml:space="preserve"> </w:t>
      </w:r>
    </w:p>
    <w:p>
      <w:pPr>
        <w:pStyle w:val="54"/>
        <w:spacing w:line="560" w:lineRule="exact"/>
        <w:ind w:left="504" w:leftChars="240" w:firstLine="0"/>
        <w:rPr>
          <w:rFonts w:hint="eastAsia" w:ascii="仿宋" w:hAnsi="仿宋" w:eastAsia="仿宋" w:cs="仿宋"/>
          <w:sz w:val="30"/>
          <w:szCs w:val="30"/>
        </w:rPr>
      </w:pPr>
      <w:r>
        <w:rPr>
          <w:rFonts w:hint="eastAsia" w:ascii="仿宋" w:hAnsi="仿宋" w:eastAsia="仿宋" w:cs="仿宋"/>
          <w:kern w:val="2"/>
          <w:sz w:val="30"/>
          <w:szCs w:val="30"/>
        </w:rPr>
        <w:t>完成</w:t>
      </w:r>
      <w:r>
        <w:rPr>
          <w:rFonts w:hint="eastAsia" w:ascii="仿宋" w:hAnsi="仿宋" w:eastAsia="仿宋" w:cs="仿宋"/>
          <w:color w:val="000000"/>
          <w:kern w:val="2"/>
          <w:sz w:val="30"/>
          <w:szCs w:val="30"/>
        </w:rPr>
        <w:t>202</w:t>
      </w:r>
      <w:r>
        <w:rPr>
          <w:rFonts w:hint="eastAsia" w:ascii="仿宋" w:hAnsi="仿宋" w:eastAsia="仿宋" w:cs="仿宋"/>
          <w:color w:val="000000"/>
          <w:kern w:val="2"/>
          <w:sz w:val="30"/>
          <w:szCs w:val="30"/>
          <w:lang w:val="en-US" w:eastAsia="zh-CN"/>
        </w:rPr>
        <w:t>5</w:t>
      </w:r>
      <w:r>
        <w:rPr>
          <w:rFonts w:hint="eastAsia" w:ascii="仿宋" w:hAnsi="仿宋" w:eastAsia="仿宋" w:cs="仿宋"/>
          <w:color w:val="000000"/>
          <w:kern w:val="2"/>
          <w:sz w:val="30"/>
          <w:szCs w:val="30"/>
        </w:rPr>
        <w:t>年《自治区自然资源综合</w:t>
      </w:r>
      <w:r>
        <w:rPr>
          <w:rFonts w:hint="eastAsia" w:ascii="仿宋" w:hAnsi="仿宋" w:eastAsia="仿宋" w:cs="仿宋"/>
          <w:color w:val="000000"/>
          <w:kern w:val="2"/>
          <w:sz w:val="30"/>
          <w:szCs w:val="30"/>
          <w:lang w:val="en-US" w:eastAsia="zh-CN"/>
        </w:rPr>
        <w:t>统计</w:t>
      </w:r>
      <w:r>
        <w:rPr>
          <w:rFonts w:hint="eastAsia" w:ascii="仿宋" w:hAnsi="仿宋" w:eastAsia="仿宋" w:cs="仿宋"/>
          <w:color w:val="000000"/>
          <w:kern w:val="2"/>
          <w:sz w:val="30"/>
          <w:szCs w:val="30"/>
        </w:rPr>
        <w:t>报告》1个，</w:t>
      </w:r>
      <w:r>
        <w:rPr>
          <w:rFonts w:hint="eastAsia" w:ascii="仿宋" w:hAnsi="仿宋" w:eastAsia="仿宋" w:cs="仿宋"/>
          <w:sz w:val="30"/>
          <w:szCs w:val="30"/>
        </w:rPr>
        <w:t>与预期目</w:t>
      </w:r>
    </w:p>
    <w:p>
      <w:pPr>
        <w:pStyle w:val="54"/>
        <w:spacing w:line="560" w:lineRule="exact"/>
        <w:ind w:left="0" w:leftChars="0" w:firstLine="0" w:firstLineChars="0"/>
        <w:rPr>
          <w:rFonts w:ascii="仿宋" w:hAnsi="仿宋" w:eastAsia="仿宋" w:cs="仿宋"/>
          <w:color w:val="000000"/>
          <w:sz w:val="30"/>
          <w:szCs w:val="30"/>
        </w:rPr>
      </w:pPr>
      <w:r>
        <w:rPr>
          <w:rFonts w:hint="eastAsia" w:ascii="仿宋" w:hAnsi="仿宋" w:eastAsia="仿宋" w:cs="仿宋"/>
          <w:sz w:val="30"/>
          <w:szCs w:val="30"/>
        </w:rPr>
        <w:t>标一致，根据评分标准，该指标不扣分，得</w:t>
      </w:r>
      <w:r>
        <w:rPr>
          <w:rFonts w:hint="eastAsia" w:ascii="仿宋" w:hAnsi="仿宋" w:eastAsia="仿宋" w:cs="仿宋"/>
          <w:sz w:val="30"/>
          <w:szCs w:val="30"/>
          <w:lang w:val="en-US" w:eastAsia="zh-CN"/>
        </w:rPr>
        <w:t>3</w:t>
      </w:r>
      <w:r>
        <w:rPr>
          <w:rFonts w:hint="eastAsia" w:ascii="仿宋" w:hAnsi="仿宋" w:eastAsia="仿宋" w:cs="仿宋"/>
          <w:sz w:val="30"/>
          <w:szCs w:val="30"/>
        </w:rPr>
        <w:t>0分。</w:t>
      </w:r>
    </w:p>
    <w:p>
      <w:pPr>
        <w:spacing w:line="560" w:lineRule="exact"/>
        <w:ind w:firstLine="600" w:firstLineChars="200"/>
        <w:rPr>
          <w:rFonts w:ascii="仿宋" w:hAnsi="仿宋" w:eastAsia="仿宋" w:cs="仿宋"/>
          <w:b/>
          <w:bCs/>
          <w:sz w:val="30"/>
          <w:szCs w:val="30"/>
        </w:rPr>
      </w:pPr>
      <w:r>
        <w:rPr>
          <w:rFonts w:ascii="仿宋" w:hAnsi="仿宋" w:eastAsia="仿宋" w:cs="仿宋"/>
          <w:sz w:val="30"/>
          <w:szCs w:val="30"/>
        </w:rPr>
        <w:t>③</w:t>
      </w:r>
      <w:r>
        <w:rPr>
          <w:rFonts w:hint="eastAsia" w:ascii="仿宋" w:hAnsi="仿宋" w:eastAsia="仿宋" w:cs="仿宋"/>
          <w:sz w:val="30"/>
          <w:szCs w:val="30"/>
        </w:rPr>
        <w:t>对于“生态效益指标”：</w:t>
      </w:r>
    </w:p>
    <w:p>
      <w:pPr>
        <w:spacing w:line="560" w:lineRule="exact"/>
        <w:ind w:firstLine="562"/>
        <w:rPr>
          <w:rFonts w:ascii="仿宋" w:hAnsi="仿宋" w:eastAsia="仿宋" w:cs="仿宋"/>
          <w:sz w:val="30"/>
          <w:szCs w:val="30"/>
        </w:rPr>
      </w:pPr>
      <w:r>
        <w:rPr>
          <w:rFonts w:hint="eastAsia" w:ascii="仿宋" w:hAnsi="仿宋" w:eastAsia="仿宋" w:cs="仿宋"/>
          <w:sz w:val="30"/>
          <w:szCs w:val="30"/>
        </w:rPr>
        <w:t>本项目无该指标。</w:t>
      </w:r>
    </w:p>
    <w:p>
      <w:pPr>
        <w:pStyle w:val="11"/>
        <w:spacing w:after="0" w:line="560" w:lineRule="exact"/>
        <w:ind w:firstLine="600" w:firstLineChars="200"/>
        <w:rPr>
          <w:rFonts w:ascii="仿宋" w:hAnsi="仿宋" w:eastAsia="仿宋" w:cs="仿宋"/>
          <w:sz w:val="30"/>
          <w:szCs w:val="30"/>
        </w:rPr>
      </w:pPr>
      <w:r>
        <w:rPr>
          <w:rFonts w:hint="eastAsia" w:ascii="仿宋" w:hAnsi="仿宋" w:eastAsia="仿宋" w:cs="仿宋"/>
          <w:sz w:val="30"/>
          <w:szCs w:val="30"/>
        </w:rPr>
        <w:t>实施效益指标合计得30分。</w:t>
      </w:r>
    </w:p>
    <w:p>
      <w:pPr>
        <w:pStyle w:val="56"/>
        <w:keepLines/>
        <w:widowControl w:val="0"/>
        <w:rPr>
          <w:rFonts w:ascii="方正黑体_GBK" w:hAnsi="方正黑体_GBK" w:eastAsia="方正黑体_GBK" w:cs="方正黑体_GBK"/>
          <w:kern w:val="2"/>
          <w:sz w:val="30"/>
          <w:szCs w:val="30"/>
        </w:rPr>
      </w:pPr>
      <w:r>
        <w:rPr>
          <w:rFonts w:hint="eastAsia" w:ascii="方正黑体_GBK" w:hAnsi="方正黑体_GBK" w:eastAsia="方正黑体_GBK" w:cs="方正黑体_GBK"/>
          <w:kern w:val="2"/>
          <w:sz w:val="30"/>
          <w:szCs w:val="30"/>
        </w:rPr>
        <w:t>五、预算执行进度与绩效指标偏差</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预算已全部按规定执行完毕，未发生偏差。</w:t>
      </w:r>
    </w:p>
    <w:p>
      <w:pPr>
        <w:pStyle w:val="56"/>
        <w:keepLines/>
        <w:widowControl w:val="0"/>
        <w:rPr>
          <w:rFonts w:ascii="方正黑体_GBK" w:hAnsi="方正黑体_GBK" w:eastAsia="方正黑体_GBK" w:cs="方正黑体_GBK"/>
          <w:kern w:val="2"/>
          <w:sz w:val="30"/>
          <w:szCs w:val="30"/>
        </w:rPr>
      </w:pPr>
      <w:r>
        <w:rPr>
          <w:rFonts w:hint="eastAsia" w:ascii="方正黑体_GBK" w:hAnsi="方正黑体_GBK" w:eastAsia="方正黑体_GBK" w:cs="方正黑体_GBK"/>
          <w:kern w:val="2"/>
          <w:sz w:val="30"/>
          <w:szCs w:val="30"/>
        </w:rPr>
        <w:t>六、主要经验及做法、存在的问题及原因分析</w:t>
      </w:r>
    </w:p>
    <w:p>
      <w:pPr>
        <w:spacing w:line="60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（一）主要经验及做法</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1.领导重视，统一协调</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重大决策的审定；负责课题项目配套经费的落实；</w:t>
      </w:r>
      <w:r>
        <w:rPr>
          <w:rFonts w:hint="eastAsia" w:ascii="仿宋" w:hAnsi="仿宋" w:eastAsia="仿宋" w:cs="仿宋"/>
          <w:sz w:val="30"/>
          <w:szCs w:val="30"/>
          <w:lang w:val="en-US" w:eastAsia="zh-CN"/>
        </w:rPr>
        <w:t>统筹课题研究全过程管理、研究成果审核，牵头对内工作组织与跨部门协同对接</w:t>
      </w:r>
      <w:r>
        <w:rPr>
          <w:rFonts w:hint="eastAsia" w:ascii="仿宋" w:hAnsi="仿宋" w:eastAsia="仿宋" w:cs="仿宋"/>
          <w:sz w:val="30"/>
          <w:szCs w:val="30"/>
        </w:rPr>
        <w:t>；在领导小组的统一</w:t>
      </w:r>
      <w:r>
        <w:rPr>
          <w:rFonts w:hint="eastAsia" w:ascii="仿宋" w:hAnsi="仿宋" w:eastAsia="仿宋" w:cs="仿宋"/>
          <w:sz w:val="30"/>
          <w:szCs w:val="30"/>
          <w:lang w:val="en-US" w:eastAsia="zh-CN"/>
        </w:rPr>
        <w:t>统筹</w:t>
      </w:r>
      <w:r>
        <w:rPr>
          <w:rFonts w:hint="eastAsia" w:ascii="仿宋" w:hAnsi="仿宋" w:eastAsia="仿宋" w:cs="仿宋"/>
          <w:sz w:val="30"/>
          <w:szCs w:val="30"/>
        </w:rPr>
        <w:t>协调下，</w:t>
      </w:r>
      <w:r>
        <w:rPr>
          <w:rFonts w:hint="eastAsia" w:ascii="仿宋" w:hAnsi="仿宋" w:eastAsia="仿宋" w:cs="仿宋"/>
          <w:sz w:val="30"/>
          <w:szCs w:val="30"/>
          <w:lang w:val="en-US" w:eastAsia="zh-CN"/>
        </w:rPr>
        <w:t>高效推进项目实施进度，使</w:t>
      </w:r>
      <w:r>
        <w:rPr>
          <w:rFonts w:hint="eastAsia" w:ascii="仿宋" w:hAnsi="仿宋" w:eastAsia="仿宋" w:cs="仿宋"/>
          <w:sz w:val="30"/>
          <w:szCs w:val="30"/>
        </w:rPr>
        <w:t>课题组</w:t>
      </w:r>
      <w:r>
        <w:rPr>
          <w:rFonts w:hint="eastAsia" w:ascii="仿宋" w:hAnsi="仿宋" w:eastAsia="仿宋" w:cs="仿宋"/>
          <w:sz w:val="30"/>
          <w:szCs w:val="30"/>
          <w:lang w:val="en-US" w:eastAsia="zh-CN"/>
        </w:rPr>
        <w:t>按期</w:t>
      </w:r>
      <w:r>
        <w:rPr>
          <w:rFonts w:hint="eastAsia" w:ascii="仿宋" w:hAnsi="仿宋" w:eastAsia="仿宋" w:cs="仿宋"/>
          <w:sz w:val="30"/>
          <w:szCs w:val="30"/>
        </w:rPr>
        <w:t>圆满完成项目。</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2.落实责任，明确分工</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由中心组织，联合科研院校专家学者组成的课题组等组织机构，明确工作职责。充分做好组织协调工作，确保研究工作的顺利完成。</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3.强化技术支持、广泛征询意见</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加强对参与项目研究人员的技术培训，领导小组组织技术指导组，及时对项目报告进行咨询、论证，广泛征求各部门的意见，确保成果既符合国家法律法规规定的技术要求，又符合自治区的实际。采用多种形式广泛征询了各方面的意见，根据多次反馈的咨询意见，课题组再进一步核查调查数据和处理数据，完善</w:t>
      </w:r>
      <w:bookmarkStart w:id="3" w:name="_GoBack"/>
      <w:bookmarkEnd w:id="3"/>
      <w:r>
        <w:rPr>
          <w:rFonts w:hint="eastAsia" w:ascii="仿宋" w:hAnsi="仿宋" w:eastAsia="仿宋" w:cs="仿宋"/>
          <w:sz w:val="30"/>
          <w:szCs w:val="30"/>
        </w:rPr>
        <w:t>202</w:t>
      </w:r>
      <w:r>
        <w:rPr>
          <w:rFonts w:hint="eastAsia" w:ascii="仿宋" w:hAnsi="仿宋" w:eastAsia="仿宋" w:cs="仿宋"/>
          <w:sz w:val="30"/>
          <w:szCs w:val="30"/>
          <w:lang w:val="en-US" w:eastAsia="zh-CN"/>
        </w:rPr>
        <w:t>4</w:t>
      </w:r>
      <w:r>
        <w:rPr>
          <w:rFonts w:hint="eastAsia" w:ascii="仿宋" w:hAnsi="仿宋" w:eastAsia="仿宋" w:cs="仿宋"/>
          <w:sz w:val="30"/>
          <w:szCs w:val="30"/>
        </w:rPr>
        <w:t>年度自治区自然资源年报及综合评价分析研究、自治区“十四五”自然资源规划监测与评估，使成果更符合实际、在指导项目顺利实施中起到更大的作用。</w:t>
      </w:r>
    </w:p>
    <w:p>
      <w:pPr>
        <w:keepNext/>
        <w:keepLines/>
        <w:numPr>
          <w:ilvl w:val="0"/>
          <w:numId w:val="13"/>
        </w:numPr>
        <w:spacing w:line="600" w:lineRule="exact"/>
        <w:ind w:firstLine="602" w:firstLineChars="200"/>
        <w:rPr>
          <w:rFonts w:ascii="仿宋" w:hAnsi="仿宋" w:eastAsia="仿宋" w:cs="仿宋"/>
          <w:b/>
          <w:bCs/>
          <w:kern w:val="0"/>
          <w:sz w:val="30"/>
          <w:szCs w:val="30"/>
        </w:rPr>
      </w:pPr>
      <w:r>
        <w:rPr>
          <w:rFonts w:hint="eastAsia" w:ascii="仿宋" w:hAnsi="仿宋" w:eastAsia="仿宋" w:cs="仿宋"/>
          <w:b/>
          <w:bCs/>
          <w:kern w:val="0"/>
          <w:sz w:val="30"/>
          <w:szCs w:val="30"/>
        </w:rPr>
        <w:t>存在的问题及原因分析</w:t>
      </w:r>
    </w:p>
    <w:p>
      <w:pPr>
        <w:pStyle w:val="18"/>
        <w:spacing w:before="0" w:after="0" w:line="600" w:lineRule="exact"/>
        <w:ind w:firstLine="600" w:firstLineChars="200"/>
        <w:jc w:val="both"/>
        <w:rPr>
          <w:rFonts w:ascii="仿宋" w:hAnsi="仿宋" w:eastAsia="仿宋" w:cs="仿宋"/>
          <w:b w:val="0"/>
          <w:bCs w:val="0"/>
          <w:kern w:val="2"/>
          <w:sz w:val="30"/>
          <w:szCs w:val="30"/>
        </w:rPr>
      </w:pPr>
      <w:r>
        <w:rPr>
          <w:rFonts w:hint="eastAsia" w:ascii="仿宋" w:hAnsi="仿宋" w:eastAsia="仿宋" w:cs="仿宋"/>
          <w:b w:val="0"/>
          <w:bCs w:val="0"/>
          <w:kern w:val="2"/>
          <w:sz w:val="30"/>
          <w:szCs w:val="30"/>
        </w:rPr>
        <w:t>统计数据滞后，调研积极性不高</w:t>
      </w:r>
    </w:p>
    <w:p>
      <w:pPr>
        <w:pStyle w:val="18"/>
        <w:spacing w:before="0" w:after="0" w:line="600" w:lineRule="exact"/>
        <w:ind w:firstLine="600" w:firstLineChars="200"/>
        <w:jc w:val="both"/>
        <w:rPr>
          <w:rFonts w:ascii="仿宋" w:hAnsi="仿宋" w:eastAsia="仿宋"/>
          <w:b w:val="0"/>
          <w:bCs w:val="0"/>
          <w:kern w:val="2"/>
          <w:sz w:val="30"/>
          <w:szCs w:val="30"/>
        </w:rPr>
      </w:pPr>
      <w:r>
        <w:rPr>
          <w:rFonts w:hint="eastAsia" w:ascii="仿宋" w:hAnsi="仿宋" w:eastAsia="仿宋" w:cs="仿宋"/>
          <w:b w:val="0"/>
          <w:bCs w:val="0"/>
          <w:kern w:val="2"/>
          <w:sz w:val="30"/>
          <w:szCs w:val="30"/>
        </w:rPr>
        <w:t>部分数据主要指标以年度变更数据为准，为此，获取指标数据具有一定的难度，需不断更新</w:t>
      </w:r>
      <w:r>
        <w:rPr>
          <w:rFonts w:hint="eastAsia" w:ascii="仿宋" w:hAnsi="仿宋" w:eastAsia="仿宋" w:cs="仿宋"/>
          <w:b w:val="0"/>
          <w:bCs w:val="0"/>
          <w:kern w:val="2"/>
          <w:sz w:val="30"/>
          <w:szCs w:val="30"/>
          <w:lang w:val="en-US" w:eastAsia="zh-CN"/>
        </w:rPr>
        <w:t>数</w:t>
      </w:r>
      <w:r>
        <w:rPr>
          <w:rFonts w:hint="eastAsia" w:ascii="仿宋" w:hAnsi="仿宋" w:eastAsia="仿宋" w:cs="仿宋"/>
          <w:b w:val="0"/>
          <w:bCs w:val="0"/>
          <w:kern w:val="2"/>
          <w:sz w:val="30"/>
          <w:szCs w:val="30"/>
        </w:rPr>
        <w:t>据。另外，部分数据资料在地州开展调研中积极性不高，后期需补充工作进展。</w:t>
      </w:r>
    </w:p>
    <w:p>
      <w:pPr>
        <w:pStyle w:val="18"/>
        <w:spacing w:before="0" w:after="0" w:line="600" w:lineRule="exact"/>
        <w:ind w:firstLine="600" w:firstLineChars="200"/>
        <w:jc w:val="both"/>
        <w:rPr>
          <w:rFonts w:ascii="方正黑体_GBK" w:hAnsi="方正黑体_GBK" w:eastAsia="方正黑体_GBK" w:cs="方正黑体_GBK"/>
          <w:kern w:val="2"/>
          <w:sz w:val="30"/>
          <w:szCs w:val="30"/>
        </w:rPr>
      </w:pPr>
      <w:r>
        <w:rPr>
          <w:rFonts w:hint="eastAsia" w:ascii="方正黑体_GBK" w:hAnsi="方正黑体_GBK" w:eastAsia="方正黑体_GBK" w:cs="方正黑体_GBK"/>
          <w:kern w:val="2"/>
          <w:sz w:val="30"/>
          <w:szCs w:val="30"/>
        </w:rPr>
        <w:t>七、有关建议</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一是组织资金项目支出绩效评价培训会，及时解读预算编制环节中关于绩效目标填报和绩效评估工作推进中的难点问题。</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二是对项目整体支出绩效目标、项目支出绩效目标填报的指标权重、数量、定性定量等具体要求进行专业培训。</w:t>
      </w:r>
    </w:p>
    <w:p>
      <w:pPr>
        <w:spacing w:line="600" w:lineRule="exact"/>
        <w:ind w:firstLine="600" w:firstLineChars="200"/>
        <w:rPr>
          <w:rFonts w:ascii="方正黑体_GBK" w:hAnsi="方正黑体_GBK" w:eastAsia="方正黑体_GBK" w:cs="方正黑体_GBK"/>
          <w:b/>
          <w:bCs/>
          <w:sz w:val="30"/>
          <w:szCs w:val="30"/>
        </w:rPr>
      </w:pPr>
      <w:r>
        <w:rPr>
          <w:rFonts w:hint="eastAsia" w:ascii="方正黑体_GBK" w:hAnsi="方正黑体_GBK" w:eastAsia="方正黑体_GBK" w:cs="方正黑体_GBK"/>
          <w:b/>
          <w:bCs/>
          <w:sz w:val="30"/>
          <w:szCs w:val="30"/>
        </w:rPr>
        <w:t>八、其他需要说</w:t>
      </w:r>
      <w:bookmarkStart w:id="2" w:name="page8"/>
      <w:bookmarkEnd w:id="2"/>
      <w:r>
        <w:rPr>
          <w:rFonts w:hint="eastAsia" w:ascii="方正黑体_GBK" w:hAnsi="方正黑体_GBK" w:eastAsia="方正黑体_GBK" w:cs="方正黑体_GBK"/>
          <w:b/>
          <w:bCs/>
          <w:sz w:val="30"/>
          <w:szCs w:val="30"/>
        </w:rPr>
        <w:t>明的问题</w:t>
      </w:r>
    </w:p>
    <w:p>
      <w:pPr>
        <w:pStyle w:val="54"/>
        <w:spacing w:line="560" w:lineRule="exact"/>
        <w:ind w:firstLine="562"/>
        <w:rPr>
          <w:rFonts w:ascii="仿宋" w:hAnsi="仿宋" w:eastAsia="仿宋" w:cs="仿宋"/>
          <w:sz w:val="30"/>
          <w:szCs w:val="30"/>
        </w:rPr>
      </w:pPr>
      <w:r>
        <w:rPr>
          <w:rFonts w:hint="eastAsia" w:ascii="仿宋" w:hAnsi="仿宋" w:eastAsia="仿宋" w:cs="仿宋"/>
          <w:sz w:val="30"/>
          <w:szCs w:val="30"/>
        </w:rPr>
        <w:t>我单位对上述项目支出绩效评价报告内反映内容的真实性、完整性负责，接受上级部门及社会监督。</w:t>
      </w:r>
    </w:p>
    <w:p>
      <w:pPr>
        <w:pStyle w:val="54"/>
        <w:spacing w:line="560" w:lineRule="exact"/>
        <w:ind w:firstLine="562"/>
        <w:rPr>
          <w:rFonts w:ascii="仿宋" w:hAnsi="仿宋" w:eastAsia="仿宋" w:cs="仿宋"/>
          <w:sz w:val="30"/>
          <w:szCs w:val="30"/>
        </w:rPr>
      </w:pPr>
    </w:p>
    <w:p>
      <w:pPr>
        <w:pStyle w:val="54"/>
        <w:spacing w:line="560" w:lineRule="exact"/>
        <w:ind w:firstLine="562"/>
        <w:rPr>
          <w:rFonts w:ascii="仿宋" w:hAnsi="仿宋" w:eastAsia="仿宋" w:cs="仿宋"/>
          <w:sz w:val="30"/>
          <w:szCs w:val="30"/>
        </w:rPr>
      </w:pPr>
      <w:r>
        <w:rPr>
          <w:rFonts w:hint="eastAsia" w:ascii="仿宋" w:hAnsi="仿宋" w:eastAsia="仿宋" w:cs="仿宋"/>
          <w:sz w:val="30"/>
          <w:szCs w:val="30"/>
        </w:rPr>
        <w:t>附件1：自治区自然资源规划监测、矿产资源开发利用与评估项目绩效评价指标体系及评分标准</w:t>
      </w:r>
    </w:p>
    <w:p>
      <w:pPr>
        <w:pStyle w:val="20"/>
        <w:ind w:left="0" w:leftChars="0" w:firstLine="0" w:firstLineChars="0"/>
        <w:rPr>
          <w:rFonts w:ascii="Times New Roman" w:hAnsi="Times New Roman" w:eastAsia="方正小标宋简体"/>
          <w:b/>
          <w:kern w:val="0"/>
          <w:sz w:val="30"/>
          <w:szCs w:val="30"/>
        </w:rPr>
      </w:pPr>
    </w:p>
    <w:p>
      <w:pPr>
        <w:pStyle w:val="20"/>
        <w:ind w:left="0" w:leftChars="0" w:firstLine="0" w:firstLineChars="0"/>
        <w:rPr>
          <w:rFonts w:ascii="Times New Roman" w:hAnsi="Times New Roman" w:eastAsia="方正小标宋简体"/>
          <w:b/>
          <w:kern w:val="0"/>
          <w:sz w:val="30"/>
          <w:szCs w:val="30"/>
        </w:rPr>
      </w:pPr>
    </w:p>
    <w:p>
      <w:pPr>
        <w:pStyle w:val="20"/>
        <w:ind w:left="0" w:leftChars="0" w:firstLine="0" w:firstLineChars="0"/>
        <w:rPr>
          <w:rFonts w:ascii="Times New Roman" w:hAnsi="Times New Roman" w:eastAsia="方正小标宋简体"/>
          <w:b/>
          <w:kern w:val="0"/>
          <w:sz w:val="30"/>
          <w:szCs w:val="30"/>
        </w:rPr>
        <w:sectPr>
          <w:footerReference r:id="rId3" w:type="default"/>
          <w:pgSz w:w="11906" w:h="16838"/>
          <w:pgMar w:top="1440" w:right="1558" w:bottom="1440" w:left="1800" w:header="851" w:footer="992" w:gutter="0"/>
          <w:cols w:space="425" w:num="1"/>
          <w:docGrid w:type="lines" w:linePitch="312" w:charSpace="0"/>
        </w:sectPr>
      </w:pPr>
    </w:p>
    <w:tbl>
      <w:tblPr>
        <w:tblStyle w:val="21"/>
        <w:tblpPr w:leftFromText="180" w:rightFromText="180" w:vertAnchor="text" w:horzAnchor="page" w:tblpX="1433" w:tblpY="-1808"/>
        <w:tblOverlap w:val="never"/>
        <w:tblW w:w="14648" w:type="dxa"/>
        <w:tblInd w:w="0" w:type="dxa"/>
        <w:tblLayout w:type="fixed"/>
        <w:tblCellMar>
          <w:top w:w="0" w:type="dxa"/>
          <w:left w:w="108" w:type="dxa"/>
          <w:bottom w:w="0" w:type="dxa"/>
          <w:right w:w="108" w:type="dxa"/>
        </w:tblCellMar>
      </w:tblPr>
      <w:tblGrid>
        <w:gridCol w:w="638"/>
        <w:gridCol w:w="1348"/>
        <w:gridCol w:w="1757"/>
        <w:gridCol w:w="10500"/>
        <w:gridCol w:w="405"/>
      </w:tblGrid>
      <w:tr>
        <w:tblPrEx>
          <w:tblCellMar>
            <w:top w:w="0" w:type="dxa"/>
            <w:left w:w="108" w:type="dxa"/>
            <w:bottom w:w="0" w:type="dxa"/>
            <w:right w:w="108" w:type="dxa"/>
          </w:tblCellMar>
        </w:tblPrEx>
        <w:trPr>
          <w:trHeight w:val="538" w:hRule="atLeast"/>
        </w:trPr>
        <w:tc>
          <w:tcPr>
            <w:tcW w:w="14648" w:type="dxa"/>
            <w:gridSpan w:val="5"/>
            <w:tcBorders>
              <w:top w:val="nil"/>
              <w:left w:val="nil"/>
              <w:bottom w:val="nil"/>
              <w:right w:val="nil"/>
            </w:tcBorders>
            <w:vAlign w:val="center"/>
          </w:tcPr>
          <w:p>
            <w:pPr>
              <w:widowControl/>
              <w:ind w:firstLine="880"/>
              <w:jc w:val="center"/>
              <w:textAlignment w:val="center"/>
              <w:rPr>
                <w:rFonts w:ascii="宋体" w:hAnsi="宋体" w:cs="宋体"/>
                <w:b/>
                <w:bCs/>
                <w:kern w:val="0"/>
                <w:szCs w:val="21"/>
              </w:rPr>
            </w:pPr>
          </w:p>
          <w:p>
            <w:pPr>
              <w:widowControl/>
              <w:ind w:firstLine="880"/>
              <w:jc w:val="center"/>
              <w:textAlignment w:val="center"/>
              <w:rPr>
                <w:rFonts w:ascii="宋体" w:hAnsi="宋体" w:cs="宋体"/>
                <w:b/>
                <w:bCs/>
                <w:kern w:val="0"/>
                <w:szCs w:val="21"/>
              </w:rPr>
            </w:pPr>
          </w:p>
          <w:p>
            <w:pPr>
              <w:widowControl/>
              <w:textAlignment w:val="center"/>
              <w:rPr>
                <w:rFonts w:ascii="宋体" w:hAnsi="宋体" w:cs="宋体"/>
                <w:b/>
                <w:bCs/>
                <w:kern w:val="0"/>
                <w:szCs w:val="21"/>
              </w:rPr>
            </w:pPr>
          </w:p>
          <w:p>
            <w:pPr>
              <w:widowControl/>
              <w:ind w:firstLine="883"/>
              <w:jc w:val="left"/>
              <w:textAlignment w:val="center"/>
              <w:rPr>
                <w:rFonts w:ascii="宋体" w:hAnsi="宋体" w:cs="宋体"/>
                <w:b/>
                <w:bCs/>
                <w:kern w:val="0"/>
                <w:szCs w:val="21"/>
              </w:rPr>
            </w:pPr>
            <w:r>
              <w:rPr>
                <w:rFonts w:hint="eastAsia" w:ascii="宋体" w:hAnsi="宋体" w:cs="宋体"/>
                <w:b/>
                <w:bCs/>
                <w:kern w:val="0"/>
                <w:szCs w:val="21"/>
              </w:rPr>
              <w:t>附件1：综合评分表</w:t>
            </w:r>
          </w:p>
          <w:p>
            <w:pPr>
              <w:widowControl/>
              <w:ind w:firstLine="880"/>
              <w:jc w:val="center"/>
              <w:textAlignment w:val="center"/>
              <w:rPr>
                <w:rFonts w:ascii="宋体" w:hAnsi="宋体" w:cs="宋体"/>
                <w:b/>
                <w:bCs/>
                <w:kern w:val="0"/>
                <w:szCs w:val="21"/>
              </w:rPr>
            </w:pPr>
          </w:p>
          <w:p>
            <w:pPr>
              <w:widowControl/>
              <w:ind w:firstLine="883"/>
              <w:jc w:val="center"/>
              <w:textAlignment w:val="center"/>
              <w:rPr>
                <w:rFonts w:ascii="宋体" w:hAnsi="宋体" w:cs="宋体"/>
                <w:b/>
                <w:bCs/>
                <w:szCs w:val="21"/>
              </w:rPr>
            </w:pPr>
            <w:r>
              <w:rPr>
                <w:rFonts w:hint="eastAsia" w:ascii="宋体" w:hAnsi="宋体" w:cs="宋体"/>
                <w:b/>
                <w:bCs/>
                <w:kern w:val="0"/>
                <w:szCs w:val="21"/>
              </w:rPr>
              <w:t>202</w:t>
            </w:r>
            <w:r>
              <w:rPr>
                <w:rFonts w:hint="eastAsia" w:ascii="宋体" w:hAnsi="宋体" w:cs="宋体"/>
                <w:b/>
                <w:bCs/>
                <w:kern w:val="0"/>
                <w:szCs w:val="21"/>
                <w:lang w:val="en-US" w:eastAsia="zh-CN"/>
              </w:rPr>
              <w:t>5</w:t>
            </w:r>
            <w:r>
              <w:rPr>
                <w:rFonts w:hint="eastAsia" w:ascii="宋体" w:hAnsi="宋体" w:cs="宋体"/>
                <w:b/>
                <w:bCs/>
                <w:kern w:val="0"/>
                <w:szCs w:val="21"/>
              </w:rPr>
              <w:t>年度自治区自然资源规划监测、矿产资源开发利用与评估项目绩效评价指标体系及评分标准</w:t>
            </w:r>
          </w:p>
        </w:tc>
      </w:tr>
      <w:tr>
        <w:tblPrEx>
          <w:tblCellMar>
            <w:top w:w="0" w:type="dxa"/>
            <w:left w:w="108" w:type="dxa"/>
            <w:bottom w:w="0" w:type="dxa"/>
            <w:right w:w="108" w:type="dxa"/>
          </w:tblCellMar>
        </w:tblPrEx>
        <w:trPr>
          <w:trHeight w:val="278" w:hRule="atLeast"/>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b/>
                <w:bCs/>
                <w:sz w:val="18"/>
                <w:szCs w:val="18"/>
              </w:rPr>
            </w:pPr>
            <w:r>
              <w:rPr>
                <w:rFonts w:hint="eastAsia" w:ascii="方正仿宋_GBK" w:hAnsi="方正仿宋_GBK" w:eastAsia="方正仿宋_GBK" w:cs="方正仿宋_GBK"/>
                <w:b/>
                <w:bCs/>
                <w:kern w:val="0"/>
                <w:sz w:val="18"/>
                <w:szCs w:val="18"/>
              </w:rPr>
              <w:t>一级指标</w:t>
            </w:r>
          </w:p>
        </w:tc>
        <w:tc>
          <w:tcPr>
            <w:tcW w:w="134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b/>
                <w:bCs/>
                <w:sz w:val="18"/>
                <w:szCs w:val="18"/>
              </w:rPr>
            </w:pPr>
            <w:r>
              <w:rPr>
                <w:rFonts w:hint="eastAsia" w:ascii="方正仿宋_GBK" w:hAnsi="方正仿宋_GBK" w:eastAsia="方正仿宋_GBK" w:cs="方正仿宋_GBK"/>
                <w:b/>
                <w:bCs/>
                <w:kern w:val="0"/>
                <w:sz w:val="18"/>
                <w:szCs w:val="18"/>
              </w:rPr>
              <w:t>二级指标</w:t>
            </w:r>
          </w:p>
        </w:tc>
        <w:tc>
          <w:tcPr>
            <w:tcW w:w="1757"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b/>
                <w:bCs/>
                <w:sz w:val="18"/>
                <w:szCs w:val="18"/>
              </w:rPr>
            </w:pPr>
            <w:r>
              <w:rPr>
                <w:rFonts w:hint="eastAsia" w:ascii="方正仿宋_GBK" w:hAnsi="方正仿宋_GBK" w:eastAsia="方正仿宋_GBK" w:cs="方正仿宋_GBK"/>
                <w:b/>
                <w:bCs/>
                <w:kern w:val="0"/>
                <w:sz w:val="18"/>
                <w:szCs w:val="18"/>
              </w:rPr>
              <w:t>三级指标</w:t>
            </w:r>
          </w:p>
        </w:tc>
        <w:tc>
          <w:tcPr>
            <w:tcW w:w="10500" w:type="dxa"/>
            <w:tcBorders>
              <w:top w:val="single" w:color="000000" w:sz="4" w:space="0"/>
              <w:left w:val="single" w:color="000000" w:sz="4" w:space="0"/>
              <w:bottom w:val="single" w:color="000000" w:sz="4" w:space="0"/>
              <w:right w:val="single" w:color="000000" w:sz="4" w:space="0"/>
            </w:tcBorders>
            <w:vAlign w:val="center"/>
          </w:tcPr>
          <w:p>
            <w:pPr>
              <w:widowControl/>
              <w:ind w:firstLine="480"/>
              <w:jc w:val="center"/>
              <w:textAlignment w:val="center"/>
              <w:rPr>
                <w:rFonts w:ascii="仿宋" w:hAnsi="仿宋" w:eastAsia="仿宋" w:cs="仿宋"/>
                <w:b/>
                <w:bCs/>
                <w:sz w:val="18"/>
                <w:szCs w:val="18"/>
              </w:rPr>
            </w:pPr>
            <w:r>
              <w:rPr>
                <w:rFonts w:hint="eastAsia" w:ascii="方正仿宋_GBK" w:hAnsi="方正仿宋_GBK" w:eastAsia="方正仿宋_GBK" w:cs="方正仿宋_GBK"/>
                <w:b/>
                <w:bCs/>
                <w:kern w:val="0"/>
                <w:sz w:val="18"/>
                <w:szCs w:val="18"/>
              </w:rPr>
              <w:t>评价标准</w:t>
            </w:r>
          </w:p>
        </w:tc>
        <w:tc>
          <w:tcPr>
            <w:tcW w:w="40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b/>
                <w:bCs/>
                <w:sz w:val="18"/>
                <w:szCs w:val="18"/>
              </w:rPr>
            </w:pPr>
            <w:r>
              <w:rPr>
                <w:rFonts w:hint="eastAsia" w:ascii="方正仿宋_GBK" w:hAnsi="方正仿宋_GBK" w:eastAsia="方正仿宋_GBK" w:cs="方正仿宋_GBK"/>
                <w:b/>
                <w:bCs/>
                <w:kern w:val="0"/>
                <w:sz w:val="18"/>
                <w:szCs w:val="18"/>
              </w:rPr>
              <w:t>得分</w:t>
            </w:r>
          </w:p>
        </w:tc>
      </w:tr>
      <w:tr>
        <w:tblPrEx>
          <w:tblCellMar>
            <w:top w:w="0" w:type="dxa"/>
            <w:left w:w="108" w:type="dxa"/>
            <w:bottom w:w="0" w:type="dxa"/>
            <w:right w:w="108" w:type="dxa"/>
          </w:tblCellMar>
        </w:tblPrEx>
        <w:trPr>
          <w:trHeight w:val="1084" w:hRule="atLeast"/>
        </w:trPr>
        <w:tc>
          <w:tcPr>
            <w:tcW w:w="638" w:type="dxa"/>
            <w:vMerge w:val="restart"/>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决决</w:t>
            </w:r>
            <w:r>
              <w:rPr>
                <w:rFonts w:hint="eastAsia" w:ascii="仿宋" w:hAnsi="仿宋" w:eastAsia="仿宋" w:cs="仿宋"/>
                <w:szCs w:val="21"/>
              </w:rPr>
              <w:t>策（10分）</w:t>
            </w: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 w:hAnsi="仿宋" w:eastAsia="仿宋" w:cs="仿宋"/>
                <w:sz w:val="18"/>
                <w:szCs w:val="18"/>
              </w:rPr>
            </w:pPr>
            <w:r>
              <w:rPr>
                <w:rFonts w:hint="eastAsia" w:ascii="仿宋" w:hAnsi="仿宋" w:eastAsia="仿宋" w:cs="仿宋"/>
                <w:sz w:val="18"/>
                <w:szCs w:val="18"/>
              </w:rPr>
              <w:t>项目立项</w:t>
            </w:r>
          </w:p>
          <w:p>
            <w:pPr>
              <w:jc w:val="left"/>
              <w:rPr>
                <w:rFonts w:ascii="仿宋" w:hAnsi="仿宋" w:eastAsia="仿宋" w:cs="仿宋"/>
                <w:sz w:val="18"/>
                <w:szCs w:val="18"/>
              </w:rPr>
            </w:pPr>
            <w:r>
              <w:rPr>
                <w:rFonts w:hint="eastAsia" w:ascii="仿宋" w:hAnsi="仿宋" w:eastAsia="仿宋" w:cs="仿宋"/>
                <w:sz w:val="18"/>
                <w:szCs w:val="18"/>
              </w:rPr>
              <w:t>（4分）</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立项依据充分性（2分）</w:t>
            </w:r>
          </w:p>
        </w:tc>
        <w:tc>
          <w:tcPr>
            <w:tcW w:w="10500" w:type="dxa"/>
            <w:tcBorders>
              <w:top w:val="single" w:color="000000" w:sz="4" w:space="0"/>
              <w:left w:val="single" w:color="000000" w:sz="4" w:space="0"/>
              <w:bottom w:val="single" w:color="000000" w:sz="4" w:space="0"/>
              <w:right w:val="single" w:color="000000" w:sz="4" w:space="0"/>
            </w:tcBorders>
          </w:tcPr>
          <w:p>
            <w:pPr>
              <w:pStyle w:val="37"/>
              <w:numPr>
                <w:ilvl w:val="0"/>
                <w:numId w:val="14"/>
              </w:numPr>
              <w:rPr>
                <w:rFonts w:hint="eastAsia" w:ascii="仿宋" w:hAnsi="仿宋" w:eastAsia="仿宋" w:cs="仿宋"/>
                <w:sz w:val="18"/>
                <w:szCs w:val="18"/>
                <w:lang w:eastAsia="zh-CN"/>
              </w:rPr>
            </w:pPr>
            <w:r>
              <w:rPr>
                <w:rFonts w:hint="eastAsia" w:ascii="仿宋" w:hAnsi="仿宋" w:eastAsia="仿宋" w:cs="仿宋"/>
                <w:sz w:val="18"/>
                <w:szCs w:val="18"/>
                <w:lang w:eastAsia="zh-CN"/>
              </w:rPr>
              <w:t>项目立项是否符合国家法律法规、国民经济发展规划和相关政策得0.5分，否则不得分；②项目立项是否符合行业发</w:t>
            </w:r>
          </w:p>
          <w:p>
            <w:pPr>
              <w:rPr>
                <w:rFonts w:ascii="仿宋" w:hAnsi="仿宋" w:eastAsia="仿宋" w:cs="仿宋"/>
                <w:sz w:val="18"/>
                <w:szCs w:val="18"/>
              </w:rPr>
            </w:pPr>
            <w:r>
              <w:rPr>
                <w:rFonts w:hint="eastAsia" w:ascii="仿宋" w:hAnsi="仿宋" w:eastAsia="仿宋" w:cs="仿宋"/>
                <w:sz w:val="18"/>
                <w:szCs w:val="18"/>
              </w:rPr>
              <w:t>展规划和政策要求得0.5分，否则不得分；③项目立项是否与部门职责范围相符，属于部门履职所需得0.5分，否则不得分；④项目是否属于公共财政支持范围，是否符合中央、地方事权支出责任划分原则得0.3分，否则不得分；⑤项目是否与相关部门同类项目或部门内部相关项目重复0.2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3</w:t>
            </w:r>
          </w:p>
        </w:tc>
      </w:tr>
      <w:tr>
        <w:tblPrEx>
          <w:tblCellMar>
            <w:top w:w="0" w:type="dxa"/>
            <w:left w:w="108" w:type="dxa"/>
            <w:bottom w:w="0" w:type="dxa"/>
            <w:right w:w="108" w:type="dxa"/>
          </w:tblCellMar>
        </w:tblPrEx>
        <w:trPr>
          <w:trHeight w:val="314"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立项程序（2分）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2</w:t>
            </w:r>
          </w:p>
        </w:tc>
      </w:tr>
      <w:tr>
        <w:tblPrEx>
          <w:tblCellMar>
            <w:top w:w="0" w:type="dxa"/>
            <w:left w:w="108" w:type="dxa"/>
            <w:bottom w:w="0" w:type="dxa"/>
            <w:right w:w="108" w:type="dxa"/>
          </w:tblCellMar>
        </w:tblPrEx>
        <w:trPr>
          <w:trHeight w:val="626"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 w:hAnsi="仿宋" w:eastAsia="仿宋" w:cs="仿宋"/>
                <w:sz w:val="18"/>
                <w:szCs w:val="18"/>
              </w:rPr>
            </w:pPr>
            <w:r>
              <w:rPr>
                <w:rFonts w:hint="eastAsia" w:ascii="仿宋" w:hAnsi="仿宋" w:eastAsia="仿宋" w:cs="仿宋"/>
                <w:sz w:val="18"/>
                <w:szCs w:val="18"/>
              </w:rPr>
              <w:t>绩效目标</w:t>
            </w:r>
          </w:p>
          <w:p>
            <w:pPr>
              <w:jc w:val="left"/>
              <w:rPr>
                <w:rFonts w:ascii="仿宋" w:hAnsi="仿宋" w:eastAsia="仿宋" w:cs="仿宋"/>
                <w:sz w:val="18"/>
                <w:szCs w:val="18"/>
              </w:rPr>
            </w:pPr>
            <w:r>
              <w:rPr>
                <w:rFonts w:hint="eastAsia" w:ascii="仿宋" w:hAnsi="仿宋" w:eastAsia="仿宋" w:cs="仿宋"/>
                <w:sz w:val="18"/>
                <w:szCs w:val="18"/>
              </w:rPr>
              <w:t>（4分）</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绩效目标合理性（2分）</w:t>
            </w: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5"/>
              </w:numPr>
              <w:rPr>
                <w:rFonts w:hint="eastAsia" w:ascii="仿宋" w:hAnsi="仿宋" w:eastAsia="仿宋" w:cs="仿宋"/>
                <w:sz w:val="18"/>
                <w:szCs w:val="18"/>
                <w:lang w:eastAsia="zh-CN"/>
              </w:rPr>
            </w:pPr>
            <w:r>
              <w:rPr>
                <w:rFonts w:hint="eastAsia" w:ascii="仿宋" w:hAnsi="仿宋" w:eastAsia="仿宋" w:cs="仿宋"/>
                <w:sz w:val="18"/>
                <w:szCs w:val="18"/>
                <w:lang w:eastAsia="zh-CN"/>
              </w:rPr>
              <w:t>项目是否有绩效目标得0.5分，否则不得分；②项目绩效目标与实际工作内容是否具有相关性得0.5分，否则不</w:t>
            </w:r>
          </w:p>
          <w:p>
            <w:pPr>
              <w:rPr>
                <w:rFonts w:ascii="仿宋" w:hAnsi="仿宋" w:eastAsia="仿宋" w:cs="仿宋"/>
                <w:sz w:val="18"/>
                <w:szCs w:val="18"/>
              </w:rPr>
            </w:pPr>
            <w:r>
              <w:rPr>
                <w:rFonts w:hint="eastAsia" w:ascii="仿宋" w:hAnsi="仿宋" w:eastAsia="仿宋" w:cs="仿宋"/>
                <w:sz w:val="18"/>
                <w:szCs w:val="18"/>
              </w:rPr>
              <w:t>得分；③项目预期产出效益和效果是否符合正常的业绩水平得0.5分，否则不得分；④是否与预算确定的项目投资额或资金量相匹配得0.5分，否则不得分；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3</w:t>
            </w:r>
          </w:p>
        </w:tc>
      </w:tr>
      <w:tr>
        <w:tblPrEx>
          <w:tblCellMar>
            <w:top w:w="0" w:type="dxa"/>
            <w:left w:w="108" w:type="dxa"/>
            <w:bottom w:w="0" w:type="dxa"/>
            <w:right w:w="108" w:type="dxa"/>
          </w:tblCellMar>
        </w:tblPrEx>
        <w:trPr>
          <w:trHeight w:val="547"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绩效指标明确性（2分）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2</w:t>
            </w:r>
          </w:p>
        </w:tc>
      </w:tr>
      <w:tr>
        <w:tblPrEx>
          <w:tblCellMar>
            <w:top w:w="0" w:type="dxa"/>
            <w:left w:w="108" w:type="dxa"/>
            <w:bottom w:w="0" w:type="dxa"/>
            <w:right w:w="108" w:type="dxa"/>
          </w:tblCellMar>
        </w:tblPrEx>
        <w:trPr>
          <w:trHeight w:val="815"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 w:hAnsi="仿宋" w:eastAsia="仿宋" w:cs="仿宋"/>
                <w:sz w:val="18"/>
                <w:szCs w:val="18"/>
              </w:rPr>
            </w:pPr>
            <w:r>
              <w:rPr>
                <w:rFonts w:hint="eastAsia" w:ascii="仿宋" w:hAnsi="仿宋" w:eastAsia="仿宋" w:cs="仿宋"/>
                <w:sz w:val="18"/>
                <w:szCs w:val="18"/>
              </w:rPr>
              <w:t>资金投入</w:t>
            </w:r>
          </w:p>
          <w:p>
            <w:pPr>
              <w:jc w:val="left"/>
              <w:rPr>
                <w:rFonts w:ascii="仿宋" w:hAnsi="仿宋" w:eastAsia="仿宋" w:cs="仿宋"/>
                <w:sz w:val="18"/>
                <w:szCs w:val="18"/>
              </w:rPr>
            </w:pPr>
            <w:r>
              <w:rPr>
                <w:rFonts w:hint="eastAsia" w:ascii="仿宋" w:hAnsi="仿宋" w:eastAsia="仿宋" w:cs="仿宋"/>
                <w:sz w:val="18"/>
                <w:szCs w:val="18"/>
              </w:rPr>
              <w:t>（2分）</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预算编制（1分）</w:t>
            </w: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6"/>
              </w:numPr>
              <w:rPr>
                <w:rFonts w:hint="eastAsia" w:ascii="仿宋" w:hAnsi="仿宋" w:eastAsia="仿宋" w:cs="仿宋"/>
                <w:sz w:val="18"/>
                <w:szCs w:val="18"/>
                <w:lang w:eastAsia="zh-CN"/>
              </w:rPr>
            </w:pPr>
            <w:r>
              <w:rPr>
                <w:rFonts w:hint="eastAsia" w:ascii="仿宋" w:hAnsi="仿宋" w:eastAsia="仿宋" w:cs="仿宋"/>
                <w:sz w:val="18"/>
                <w:szCs w:val="18"/>
                <w:lang w:eastAsia="zh-CN"/>
              </w:rPr>
              <w:t>预算编制是否经过科学论证得0.2分，否则不得分；②预算内容与项目内容是否匹配得0.2分，否则不得分；③</w:t>
            </w:r>
          </w:p>
          <w:p>
            <w:pPr>
              <w:rPr>
                <w:rFonts w:ascii="仿宋" w:hAnsi="仿宋" w:eastAsia="仿宋" w:cs="仿宋"/>
                <w:sz w:val="18"/>
                <w:szCs w:val="18"/>
              </w:rPr>
            </w:pPr>
            <w:r>
              <w:rPr>
                <w:rFonts w:hint="eastAsia" w:ascii="仿宋" w:hAnsi="仿宋" w:eastAsia="仿宋" w:cs="仿宋"/>
                <w:sz w:val="18"/>
                <w:szCs w:val="18"/>
              </w:rPr>
              <w:t>预算额度测算依据是否充分，是否按照标准编制得0.5分，否则不得分；④预算确定的项目投资额或资金量是否与工作任务相匹配得0.1分，否则不得分。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5</w:t>
            </w:r>
          </w:p>
        </w:tc>
      </w:tr>
      <w:tr>
        <w:tblPrEx>
          <w:tblCellMar>
            <w:top w:w="0" w:type="dxa"/>
            <w:left w:w="108" w:type="dxa"/>
            <w:bottom w:w="0" w:type="dxa"/>
            <w:right w:w="108" w:type="dxa"/>
          </w:tblCellMar>
        </w:tblPrEx>
        <w:trPr>
          <w:trHeight w:val="547"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资金分配合理性（1分）</w:t>
            </w: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7"/>
              </w:numPr>
              <w:rPr>
                <w:rFonts w:hint="eastAsia" w:ascii="仿宋" w:hAnsi="仿宋" w:eastAsia="仿宋" w:cs="仿宋"/>
                <w:sz w:val="18"/>
                <w:szCs w:val="18"/>
                <w:lang w:eastAsia="zh-CN"/>
              </w:rPr>
            </w:pPr>
            <w:r>
              <w:rPr>
                <w:rFonts w:hint="eastAsia" w:ascii="仿宋" w:hAnsi="仿宋" w:eastAsia="仿宋" w:cs="仿宋"/>
                <w:sz w:val="18"/>
                <w:szCs w:val="18"/>
                <w:lang w:eastAsia="zh-CN"/>
              </w:rPr>
              <w:t>预算资金分配依据是否充分得0.5分，否则不得分；②资金分配额度是否合理，与项目单位或地方实际是否相适</w:t>
            </w:r>
          </w:p>
          <w:p>
            <w:pPr>
              <w:rPr>
                <w:rFonts w:ascii="仿宋" w:hAnsi="仿宋" w:eastAsia="仿宋" w:cs="仿宋"/>
                <w:sz w:val="18"/>
                <w:szCs w:val="18"/>
              </w:rPr>
            </w:pPr>
            <w:r>
              <w:rPr>
                <w:rFonts w:hint="eastAsia" w:ascii="仿宋" w:hAnsi="仿宋" w:eastAsia="仿宋" w:cs="仿宋"/>
                <w:sz w:val="18"/>
                <w:szCs w:val="18"/>
              </w:rPr>
              <w:t>应得0.5分，否则不得分。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5</w:t>
            </w:r>
          </w:p>
        </w:tc>
      </w:tr>
      <w:tr>
        <w:tblPrEx>
          <w:tblCellMar>
            <w:top w:w="0" w:type="dxa"/>
            <w:left w:w="108" w:type="dxa"/>
            <w:bottom w:w="0" w:type="dxa"/>
            <w:right w:w="108" w:type="dxa"/>
          </w:tblCellMar>
        </w:tblPrEx>
        <w:trPr>
          <w:trHeight w:val="651" w:hRule="atLeast"/>
        </w:trPr>
        <w:tc>
          <w:tcPr>
            <w:tcW w:w="638" w:type="dxa"/>
            <w:vMerge w:val="restart"/>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过过程（20分）</w:t>
            </w: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资金管理（15分）</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资金到位率（5分）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5</w:t>
            </w:r>
          </w:p>
        </w:tc>
      </w:tr>
      <w:tr>
        <w:tblPrEx>
          <w:tblCellMar>
            <w:top w:w="0" w:type="dxa"/>
            <w:left w:w="108" w:type="dxa"/>
            <w:bottom w:w="0" w:type="dxa"/>
            <w:right w:w="108" w:type="dxa"/>
          </w:tblCellMar>
        </w:tblPrEx>
        <w:trPr>
          <w:trHeight w:val="90"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预算执行率（5分）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预算执行率为100%，得5分，否则得分=（实际支出资金/实际到位资金）×100%*5。</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5</w:t>
            </w:r>
          </w:p>
        </w:tc>
      </w:tr>
      <w:tr>
        <w:tblPrEx>
          <w:tblCellMar>
            <w:top w:w="0" w:type="dxa"/>
            <w:left w:w="108" w:type="dxa"/>
            <w:bottom w:w="0" w:type="dxa"/>
            <w:right w:w="108" w:type="dxa"/>
          </w:tblCellMar>
        </w:tblPrEx>
        <w:trPr>
          <w:trHeight w:val="815"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资金使用合规性（5分）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5</w:t>
            </w:r>
          </w:p>
        </w:tc>
      </w:tr>
      <w:tr>
        <w:tblPrEx>
          <w:tblCellMar>
            <w:top w:w="0" w:type="dxa"/>
            <w:left w:w="108" w:type="dxa"/>
            <w:bottom w:w="0" w:type="dxa"/>
            <w:right w:w="108" w:type="dxa"/>
          </w:tblCellMar>
        </w:tblPrEx>
        <w:trPr>
          <w:trHeight w:val="359"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 w:hAnsi="仿宋" w:eastAsia="仿宋" w:cs="仿宋"/>
                <w:sz w:val="18"/>
                <w:szCs w:val="18"/>
              </w:rPr>
            </w:pPr>
            <w:r>
              <w:rPr>
                <w:rFonts w:hint="eastAsia" w:ascii="仿宋" w:hAnsi="仿宋" w:eastAsia="仿宋" w:cs="仿宋"/>
                <w:sz w:val="18"/>
                <w:szCs w:val="18"/>
              </w:rPr>
              <w:t>组织实施</w:t>
            </w:r>
          </w:p>
          <w:p>
            <w:pPr>
              <w:jc w:val="left"/>
              <w:rPr>
                <w:rFonts w:ascii="仿宋" w:hAnsi="仿宋" w:eastAsia="仿宋" w:cs="仿宋"/>
                <w:sz w:val="18"/>
                <w:szCs w:val="18"/>
              </w:rPr>
            </w:pPr>
            <w:r>
              <w:rPr>
                <w:rFonts w:hint="eastAsia" w:ascii="仿宋" w:hAnsi="仿宋" w:eastAsia="仿宋" w:cs="仿宋"/>
                <w:sz w:val="18"/>
                <w:szCs w:val="18"/>
              </w:rPr>
              <w:t>（5分）</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管理制度健全性（2分）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①是否已制定或具有相应的财务和业务管理制度得1分，否则不得分；②财务和业务管理制度是否合法、合规、完整得1分，否则不得分。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2</w:t>
            </w:r>
          </w:p>
        </w:tc>
      </w:tr>
      <w:tr>
        <w:tblPrEx>
          <w:tblCellMar>
            <w:top w:w="0" w:type="dxa"/>
            <w:left w:w="108" w:type="dxa"/>
            <w:bottom w:w="0" w:type="dxa"/>
            <w:right w:w="108" w:type="dxa"/>
          </w:tblCellMar>
        </w:tblPrEx>
        <w:trPr>
          <w:trHeight w:val="815"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制度执行（3分）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3</w:t>
            </w:r>
          </w:p>
        </w:tc>
      </w:tr>
      <w:tr>
        <w:tblPrEx>
          <w:tblCellMar>
            <w:top w:w="0" w:type="dxa"/>
            <w:left w:w="108" w:type="dxa"/>
            <w:bottom w:w="0" w:type="dxa"/>
            <w:right w:w="108" w:type="dxa"/>
          </w:tblCellMar>
        </w:tblPrEx>
        <w:trPr>
          <w:trHeight w:val="389" w:hRule="atLeast"/>
        </w:trPr>
        <w:tc>
          <w:tcPr>
            <w:tcW w:w="638" w:type="dxa"/>
            <w:vMerge w:val="restart"/>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产产出（40分）</w:t>
            </w: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产出数量（10分）</w:t>
            </w:r>
          </w:p>
        </w:tc>
        <w:tc>
          <w:tcPr>
            <w:tcW w:w="1757"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实际完成率（10分）</w:t>
            </w: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8"/>
              </w:numPr>
              <w:rPr>
                <w:rFonts w:hint="eastAsia" w:ascii="仿宋" w:hAnsi="仿宋" w:eastAsia="仿宋" w:cs="仿宋"/>
                <w:sz w:val="18"/>
                <w:szCs w:val="18"/>
              </w:rPr>
            </w:pPr>
            <w:r>
              <w:rPr>
                <w:rFonts w:hint="eastAsia" w:ascii="仿宋" w:hAnsi="仿宋" w:eastAsia="仿宋" w:cs="仿宋"/>
                <w:sz w:val="18"/>
                <w:szCs w:val="18"/>
                <w:lang w:val="en-US" w:eastAsia="zh-CN"/>
              </w:rPr>
              <w:t>形成</w:t>
            </w:r>
            <w:r>
              <w:rPr>
                <w:rFonts w:hint="eastAsia" w:ascii="仿宋" w:hAnsi="仿宋" w:eastAsia="仿宋" w:cs="宋体"/>
                <w:sz w:val="18"/>
                <w:szCs w:val="18"/>
              </w:rPr>
              <w:t>《新疆战略性、紧缺矿产资源基本形势、供给分析和应对措施研究—以锂、钒、钛、铜等矿产资源为例研究项目》</w:t>
            </w:r>
            <w:r>
              <w:rPr>
                <w:rFonts w:hint="eastAsia" w:ascii="仿宋" w:hAnsi="仿宋" w:eastAsia="仿宋" w:cs="宋体"/>
                <w:sz w:val="18"/>
                <w:szCs w:val="18"/>
                <w:lang w:val="en-US" w:eastAsia="zh-CN"/>
              </w:rPr>
              <w:t>实</w:t>
            </w:r>
          </w:p>
          <w:p>
            <w:pPr>
              <w:pStyle w:val="37"/>
              <w:numPr>
                <w:ilvl w:val="0"/>
                <w:numId w:val="0"/>
              </w:numPr>
              <w:ind w:leftChars="0"/>
              <w:rPr>
                <w:rFonts w:ascii="仿宋" w:hAnsi="仿宋" w:eastAsia="仿宋" w:cs="仿宋"/>
                <w:sz w:val="18"/>
                <w:szCs w:val="18"/>
              </w:rPr>
            </w:pPr>
            <w:r>
              <w:rPr>
                <w:rFonts w:hint="eastAsia" w:ascii="仿宋" w:hAnsi="仿宋" w:eastAsia="仿宋" w:cs="宋体"/>
                <w:sz w:val="18"/>
                <w:szCs w:val="18"/>
                <w:lang w:val="en-US" w:eastAsia="zh-CN"/>
              </w:rPr>
              <w:t>施方案</w:t>
            </w:r>
            <w:r>
              <w:rPr>
                <w:rFonts w:hint="eastAsia" w:ascii="仿宋" w:hAnsi="仿宋" w:eastAsia="仿宋" w:cs="仿宋"/>
                <w:sz w:val="18"/>
                <w:szCs w:val="18"/>
                <w:lang w:eastAsia="zh-CN"/>
              </w:rPr>
              <w:t>”完成该指标得满分（1分），否则按照（实际产出数/</w:t>
            </w:r>
            <w:r>
              <w:rPr>
                <w:rFonts w:hint="eastAsia" w:ascii="仿宋" w:hAnsi="仿宋" w:eastAsia="仿宋" w:cs="仿宋"/>
                <w:sz w:val="18"/>
                <w:szCs w:val="18"/>
              </w:rPr>
              <w:t>计划产出数）×100%*3分得分。</w:t>
            </w:r>
          </w:p>
        </w:tc>
        <w:tc>
          <w:tcPr>
            <w:tcW w:w="405" w:type="dxa"/>
            <w:vMerge w:val="restart"/>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10</w:t>
            </w:r>
          </w:p>
        </w:tc>
      </w:tr>
      <w:tr>
        <w:tblPrEx>
          <w:tblCellMar>
            <w:top w:w="0" w:type="dxa"/>
            <w:left w:w="108" w:type="dxa"/>
            <w:bottom w:w="0" w:type="dxa"/>
            <w:right w:w="108" w:type="dxa"/>
          </w:tblCellMar>
        </w:tblPrEx>
        <w:trPr>
          <w:trHeight w:val="547"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5"/>
              </w:numPr>
              <w:rPr>
                <w:rFonts w:hint="eastAsia" w:ascii="仿宋" w:hAnsi="仿宋" w:eastAsia="仿宋" w:cs="仿宋"/>
                <w:sz w:val="18"/>
                <w:szCs w:val="18"/>
                <w:lang w:eastAsia="zh-CN"/>
              </w:rPr>
            </w:pPr>
            <w:r>
              <w:rPr>
                <w:rFonts w:hint="eastAsia" w:ascii="仿宋" w:hAnsi="仿宋" w:eastAsia="仿宋" w:cs="仿宋"/>
                <w:sz w:val="18"/>
                <w:szCs w:val="18"/>
                <w:lang w:val="en-US" w:eastAsia="zh-CN"/>
              </w:rPr>
              <w:t>形</w:t>
            </w:r>
            <w:r>
              <w:rPr>
                <w:rFonts w:hint="eastAsia" w:ascii="仿宋" w:hAnsi="仿宋" w:eastAsia="仿宋" w:cs="仿宋"/>
                <w:sz w:val="18"/>
                <w:szCs w:val="18"/>
                <w:lang w:eastAsia="zh-CN"/>
              </w:rPr>
              <w:t>成</w:t>
            </w:r>
            <w:r>
              <w:rPr>
                <w:rFonts w:hint="eastAsia" w:ascii="仿宋" w:hAnsi="仿宋" w:eastAsia="仿宋" w:cs="宋体"/>
                <w:sz w:val="18"/>
                <w:szCs w:val="18"/>
                <w:lang w:val="en-US" w:eastAsia="zh-CN"/>
              </w:rPr>
              <w:t>《新疆战略性矿产资源产业链发展研究项目》实施方案</w:t>
            </w:r>
            <w:r>
              <w:rPr>
                <w:rFonts w:hint="eastAsia" w:ascii="仿宋" w:hAnsi="仿宋" w:eastAsia="仿宋" w:cs="仿宋"/>
                <w:sz w:val="18"/>
                <w:szCs w:val="18"/>
                <w:lang w:eastAsia="zh-CN"/>
              </w:rPr>
              <w:t>”完成该指标得满分（1分），否则按照（实际</w:t>
            </w:r>
          </w:p>
          <w:p>
            <w:pPr>
              <w:rPr>
                <w:rFonts w:ascii="仿宋" w:hAnsi="仿宋" w:eastAsia="仿宋" w:cs="仿宋"/>
                <w:sz w:val="18"/>
                <w:szCs w:val="18"/>
              </w:rPr>
            </w:pPr>
            <w:r>
              <w:rPr>
                <w:rFonts w:hint="eastAsia" w:ascii="仿宋" w:hAnsi="仿宋" w:eastAsia="仿宋" w:cs="仿宋"/>
                <w:sz w:val="18"/>
                <w:szCs w:val="18"/>
              </w:rPr>
              <w:t>产出数/计划产出数）×100%*3分得分。</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547"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54"/>
              <w:numPr>
                <w:ilvl w:val="0"/>
                <w:numId w:val="15"/>
              </w:numPr>
              <w:spacing w:line="240" w:lineRule="auto"/>
              <w:rPr>
                <w:rFonts w:hint="eastAsia" w:ascii="仿宋" w:hAnsi="仿宋" w:eastAsia="仿宋" w:cs="仿宋"/>
                <w:color w:val="000000"/>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形</w:t>
            </w:r>
            <w:r>
              <w:rPr>
                <w:rFonts w:hint="eastAsia" w:ascii="仿宋" w:hAnsi="仿宋" w:eastAsia="仿宋" w:cs="仿宋"/>
                <w:sz w:val="18"/>
                <w:szCs w:val="18"/>
              </w:rPr>
              <w:t>成</w:t>
            </w:r>
            <w:r>
              <w:rPr>
                <w:rFonts w:hint="eastAsia" w:ascii="仿宋" w:hAnsi="仿宋" w:eastAsia="仿宋" w:cs="宋体"/>
                <w:sz w:val="18"/>
                <w:szCs w:val="18"/>
                <w:lang w:val="en-US" w:eastAsia="zh-CN"/>
              </w:rPr>
              <w:t>《新疆重要矿产品盈亏临界点分析及矿产品价格波动影响研究项目》实施方案</w:t>
            </w:r>
            <w:r>
              <w:rPr>
                <w:rFonts w:hint="eastAsia" w:ascii="仿宋" w:hAnsi="仿宋" w:eastAsia="仿宋" w:cs="仿宋"/>
                <w:sz w:val="18"/>
                <w:szCs w:val="18"/>
              </w:rPr>
              <w:t xml:space="preserve">”完成该指标得满分（1分），否则    </w:t>
            </w:r>
          </w:p>
          <w:p>
            <w:pPr>
              <w:pStyle w:val="54"/>
              <w:spacing w:line="240" w:lineRule="auto"/>
              <w:ind w:left="79" w:firstLine="0"/>
              <w:rPr>
                <w:rFonts w:ascii="仿宋" w:hAnsi="仿宋" w:eastAsia="仿宋" w:cs="仿宋"/>
                <w:color w:val="000000"/>
                <w:sz w:val="18"/>
                <w:szCs w:val="18"/>
              </w:rPr>
            </w:pPr>
            <w:r>
              <w:rPr>
                <w:rFonts w:hint="eastAsia" w:ascii="仿宋" w:hAnsi="仿宋" w:eastAsia="仿宋" w:cs="仿宋"/>
                <w:sz w:val="18"/>
                <w:szCs w:val="18"/>
              </w:rPr>
              <w:t xml:space="preserve">按照（实际产出数/计划产出数）×100%*3分得分。  </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78"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5"/>
              </w:numPr>
              <w:rPr>
                <w:rFonts w:ascii="仿宋" w:hAnsi="仿宋" w:eastAsia="仿宋" w:cs="仿宋"/>
                <w:sz w:val="18"/>
                <w:szCs w:val="18"/>
                <w:lang w:eastAsia="zh-CN"/>
              </w:rPr>
            </w:pPr>
            <w:r>
              <w:rPr>
                <w:rFonts w:hint="eastAsia" w:ascii="仿宋" w:hAnsi="仿宋" w:eastAsia="仿宋" w:cs="仿宋"/>
                <w:sz w:val="18"/>
                <w:szCs w:val="18"/>
                <w:lang w:eastAsia="zh-CN"/>
              </w:rPr>
              <w:t>完成疆内地州调查研究及资料收集”完成该指标得满分（1分），否则按照（实际产出数/计划产出数）×100%*1分得分。</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71"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 xml:space="preserve">实际完成率=（实际产出数/计划产出数）×100% 。             </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54"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实际产出数：一定时期（本年度或项目期）内项目实际产出的产品或提供的服务数量。</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59"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产出质量（10分）</w:t>
            </w:r>
          </w:p>
        </w:tc>
        <w:tc>
          <w:tcPr>
            <w:tcW w:w="1757"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质量达标率（10分）</w:t>
            </w:r>
          </w:p>
        </w:tc>
        <w:tc>
          <w:tcPr>
            <w:tcW w:w="1050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19"/>
              </w:numPr>
              <w:rPr>
                <w:rFonts w:ascii="仿宋" w:hAnsi="仿宋" w:eastAsia="仿宋" w:cs="仿宋"/>
                <w:sz w:val="18"/>
                <w:szCs w:val="18"/>
                <w:lang w:eastAsia="zh-CN"/>
              </w:rPr>
            </w:pPr>
            <w:r>
              <w:rPr>
                <w:rFonts w:hint="eastAsia" w:ascii="仿宋" w:hAnsi="仿宋" w:eastAsia="仿宋" w:cs="仿宋"/>
                <w:sz w:val="18"/>
                <w:szCs w:val="18"/>
                <w:lang w:eastAsia="zh-CN"/>
              </w:rPr>
              <w:t>研究报告最终通过率”完成该指标得满分（10分），否则按照（质量达标产出数/实际产出数）×100%*10分得分。</w:t>
            </w:r>
          </w:p>
        </w:tc>
        <w:tc>
          <w:tcPr>
            <w:tcW w:w="405" w:type="dxa"/>
            <w:vMerge w:val="restart"/>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10</w:t>
            </w:r>
          </w:p>
        </w:tc>
      </w:tr>
      <w:tr>
        <w:tblPrEx>
          <w:tblCellMar>
            <w:top w:w="0" w:type="dxa"/>
            <w:left w:w="108" w:type="dxa"/>
            <w:bottom w:w="0" w:type="dxa"/>
            <w:right w:w="108" w:type="dxa"/>
          </w:tblCellMar>
        </w:tblPrEx>
        <w:trPr>
          <w:trHeight w:val="212"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 xml:space="preserve">质量达标率=（质量达标产出数/实际产出数）×100%。          </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78"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质量达标产出数：一定时期（本年度或项目期）内实际达到既定质量标准的产品或服务数量。</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77"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5"/>
                <w:szCs w:val="15"/>
              </w:rPr>
              <w:t>产出时效（10分）</w:t>
            </w:r>
          </w:p>
        </w:tc>
        <w:tc>
          <w:tcPr>
            <w:tcW w:w="1757" w:type="dxa"/>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完成及时性（10分）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①"项目按时结题率"完成该指标得满分（10分），否则按照（实际完成率/计划完成率）×100%*10分得分。</w:t>
            </w:r>
          </w:p>
        </w:tc>
        <w:tc>
          <w:tcPr>
            <w:tcW w:w="405" w:type="dxa"/>
            <w:vMerge w:val="restart"/>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10</w:t>
            </w:r>
          </w:p>
        </w:tc>
      </w:tr>
      <w:tr>
        <w:tblPrEx>
          <w:tblCellMar>
            <w:top w:w="0" w:type="dxa"/>
            <w:left w:w="108" w:type="dxa"/>
            <w:bottom w:w="0" w:type="dxa"/>
            <w:right w:w="108" w:type="dxa"/>
          </w:tblCellMar>
        </w:tblPrEx>
        <w:trPr>
          <w:trHeight w:val="299"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实际完成时间：项目实施单位完成该项目实际所耗用的时间。 计划完成时间：按照项目实施计划或相关规定完成该项目所需的时间。</w:t>
            </w:r>
          </w:p>
        </w:tc>
        <w:tc>
          <w:tcPr>
            <w:tcW w:w="405"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444" w:hRule="atLeast"/>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tcBorders>
              <w:top w:val="single" w:color="000000" w:sz="4" w:space="0"/>
              <w:left w:val="single" w:color="000000" w:sz="4" w:space="0"/>
              <w:bottom w:val="nil"/>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5"/>
                <w:szCs w:val="15"/>
              </w:rPr>
              <w:t>产出成本（10分）</w:t>
            </w:r>
          </w:p>
        </w:tc>
        <w:tc>
          <w:tcPr>
            <w:tcW w:w="1757" w:type="dxa"/>
            <w:tcBorders>
              <w:top w:val="single" w:color="000000" w:sz="4" w:space="0"/>
              <w:left w:val="single" w:color="000000" w:sz="4" w:space="0"/>
              <w:bottom w:val="nil"/>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成本节约率（10分）</w:t>
            </w: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hint="default" w:ascii="仿宋" w:hAnsi="仿宋" w:eastAsia="仿宋" w:cs="仿宋"/>
                <w:sz w:val="18"/>
                <w:szCs w:val="18"/>
                <w:lang w:val="en-US" w:eastAsia="zh-CN"/>
              </w:rPr>
            </w:pPr>
            <w:r>
              <w:rPr>
                <w:rFonts w:hint="eastAsia" w:ascii="仿宋" w:hAnsi="仿宋" w:eastAsia="仿宋" w:cs="仿宋"/>
                <w:sz w:val="18"/>
                <w:szCs w:val="18"/>
              </w:rPr>
              <w:t>①</w:t>
            </w:r>
            <w:r>
              <w:rPr>
                <w:rFonts w:hint="eastAsia" w:ascii="仿宋" w:hAnsi="仿宋" w:eastAsia="仿宋" w:cs="仿宋"/>
                <w:sz w:val="18"/>
                <w:szCs w:val="18"/>
                <w:lang w:val="en-US" w:eastAsia="zh-CN"/>
              </w:rPr>
              <w:t>专家评审费（每人每次）≤1200元，</w:t>
            </w:r>
            <w:r>
              <w:rPr>
                <w:rFonts w:hint="eastAsia" w:ascii="仿宋" w:hAnsi="仿宋" w:eastAsia="仿宋" w:cs="仿宋"/>
                <w:sz w:val="18"/>
                <w:szCs w:val="18"/>
              </w:rPr>
              <w:t>完成该指标得满分（</w:t>
            </w:r>
            <w:r>
              <w:rPr>
                <w:rFonts w:hint="eastAsia" w:ascii="仿宋" w:hAnsi="仿宋" w:eastAsia="仿宋" w:cs="仿宋"/>
                <w:sz w:val="18"/>
                <w:szCs w:val="18"/>
                <w:lang w:val="en-US" w:eastAsia="zh-CN"/>
              </w:rPr>
              <w:t>10</w:t>
            </w:r>
            <w:r>
              <w:rPr>
                <w:rFonts w:hint="eastAsia" w:ascii="仿宋" w:hAnsi="仿宋" w:eastAsia="仿宋" w:cs="仿宋"/>
                <w:sz w:val="18"/>
                <w:szCs w:val="18"/>
              </w:rPr>
              <w:t>分）否则得分=（实际支出资金/实际到位资金）×100%*</w:t>
            </w:r>
            <w:r>
              <w:rPr>
                <w:rFonts w:hint="eastAsia" w:ascii="仿宋" w:hAnsi="仿宋" w:eastAsia="仿宋" w:cs="仿宋"/>
                <w:sz w:val="18"/>
                <w:szCs w:val="18"/>
                <w:lang w:val="en-US" w:eastAsia="zh-CN"/>
              </w:rPr>
              <w:t>10</w:t>
            </w:r>
            <w:r>
              <w:rPr>
                <w:rFonts w:hint="eastAsia" w:ascii="仿宋" w:hAnsi="仿宋" w:eastAsia="仿宋" w:cs="仿宋"/>
                <w:sz w:val="18"/>
                <w:szCs w:val="18"/>
                <w:lang w:eastAsia="zh-CN"/>
              </w:rPr>
              <w:t>分得分。</w:t>
            </w:r>
          </w:p>
        </w:tc>
        <w:tc>
          <w:tcPr>
            <w:tcW w:w="405" w:type="dxa"/>
            <w:tcBorders>
              <w:top w:val="single" w:color="000000" w:sz="4" w:space="0"/>
              <w:left w:val="single" w:color="000000" w:sz="4" w:space="0"/>
              <w:bottom w:val="nil"/>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10</w:t>
            </w:r>
          </w:p>
        </w:tc>
      </w:tr>
      <w:tr>
        <w:tblPrEx>
          <w:tblCellMar>
            <w:top w:w="0" w:type="dxa"/>
            <w:left w:w="108" w:type="dxa"/>
            <w:bottom w:w="0" w:type="dxa"/>
            <w:right w:w="108" w:type="dxa"/>
          </w:tblCellMar>
        </w:tblPrEx>
        <w:trPr>
          <w:trHeight w:val="177" w:hRule="atLeast"/>
        </w:trPr>
        <w:tc>
          <w:tcPr>
            <w:tcW w:w="638" w:type="dxa"/>
            <w:vMerge w:val="restart"/>
            <w:tcBorders>
              <w:top w:val="single" w:color="000000" w:sz="4" w:space="0"/>
              <w:left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效</w:t>
            </w:r>
            <w:r>
              <w:rPr>
                <w:rFonts w:hint="eastAsia" w:ascii="仿宋" w:hAnsi="仿宋" w:eastAsia="仿宋" w:cs="仿宋"/>
                <w:sz w:val="15"/>
                <w:szCs w:val="15"/>
              </w:rPr>
              <w:t>效益（30分）</w:t>
            </w:r>
          </w:p>
          <w:p>
            <w:pPr>
              <w:ind w:firstLine="883"/>
              <w:jc w:val="left"/>
              <w:rPr>
                <w:rFonts w:ascii="仿宋" w:hAnsi="仿宋" w:eastAsia="仿宋" w:cs="仿宋"/>
                <w:sz w:val="18"/>
                <w:szCs w:val="18"/>
              </w:rPr>
            </w:pPr>
          </w:p>
        </w:tc>
        <w:tc>
          <w:tcPr>
            <w:tcW w:w="1348" w:type="dxa"/>
            <w:vMerge w:val="restart"/>
            <w:tcBorders>
              <w:top w:val="single" w:color="000000" w:sz="4" w:space="0"/>
              <w:left w:val="single" w:color="000000" w:sz="4" w:space="0"/>
              <w:right w:val="single" w:color="000000" w:sz="4" w:space="0"/>
            </w:tcBorders>
            <w:vAlign w:val="center"/>
          </w:tcPr>
          <w:p>
            <w:pPr>
              <w:ind w:firstLine="883"/>
              <w:jc w:val="left"/>
              <w:rPr>
                <w:rFonts w:hint="eastAsia" w:ascii="仿宋" w:hAnsi="仿宋" w:eastAsia="仿宋" w:cs="仿宋"/>
                <w:sz w:val="18"/>
                <w:szCs w:val="18"/>
              </w:rPr>
            </w:pPr>
          </w:p>
          <w:p>
            <w:pPr>
              <w:jc w:val="left"/>
              <w:rPr>
                <w:rFonts w:ascii="仿宋" w:hAnsi="仿宋" w:eastAsia="仿宋" w:cs="仿宋"/>
                <w:sz w:val="18"/>
                <w:szCs w:val="18"/>
              </w:rPr>
            </w:pPr>
            <w:r>
              <w:rPr>
                <w:rFonts w:hint="eastAsia" w:ascii="仿宋" w:hAnsi="仿宋" w:eastAsia="仿宋" w:cs="仿宋"/>
                <w:sz w:val="18"/>
                <w:szCs w:val="18"/>
              </w:rPr>
              <w:t>项目效益（30分）</w:t>
            </w:r>
          </w:p>
          <w:p>
            <w:pPr>
              <w:ind w:firstLine="883"/>
              <w:jc w:val="left"/>
              <w:rPr>
                <w:rFonts w:ascii="仿宋" w:hAnsi="仿宋" w:eastAsia="仿宋" w:cs="仿宋"/>
                <w:sz w:val="18"/>
                <w:szCs w:val="18"/>
              </w:rPr>
            </w:pPr>
          </w:p>
        </w:tc>
        <w:tc>
          <w:tcPr>
            <w:tcW w:w="1757" w:type="dxa"/>
            <w:vMerge w:val="restart"/>
            <w:tcBorders>
              <w:top w:val="single" w:color="000000" w:sz="4" w:space="0"/>
              <w:left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实施效益（30分）</w:t>
            </w:r>
          </w:p>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①经济效益：无</w:t>
            </w:r>
          </w:p>
        </w:tc>
        <w:tc>
          <w:tcPr>
            <w:tcW w:w="405" w:type="dxa"/>
            <w:vMerge w:val="restart"/>
            <w:tcBorders>
              <w:top w:val="single" w:color="000000" w:sz="4" w:space="0"/>
              <w:left w:val="single" w:color="000000" w:sz="4" w:space="0"/>
              <w:right w:val="single" w:color="000000" w:sz="4" w:space="0"/>
            </w:tcBorders>
            <w:vAlign w:val="center"/>
          </w:tcPr>
          <w:p>
            <w:pPr>
              <w:ind w:firstLine="883"/>
              <w:jc w:val="left"/>
              <w:rPr>
                <w:rFonts w:ascii="仿宋" w:hAnsi="仿宋" w:eastAsia="仿宋" w:cs="仿宋"/>
                <w:sz w:val="18"/>
                <w:szCs w:val="18"/>
              </w:rPr>
            </w:pPr>
            <w:r>
              <w:rPr>
                <w:rFonts w:ascii="仿宋" w:hAnsi="仿宋" w:eastAsia="仿宋" w:cs="仿宋"/>
                <w:sz w:val="18"/>
                <w:szCs w:val="18"/>
              </w:rPr>
              <w:t>10</w:t>
            </w:r>
          </w:p>
        </w:tc>
      </w:tr>
      <w:tr>
        <w:tblPrEx>
          <w:tblCellMar>
            <w:top w:w="0" w:type="dxa"/>
            <w:left w:w="108" w:type="dxa"/>
            <w:bottom w:w="0" w:type="dxa"/>
            <w:right w:w="108" w:type="dxa"/>
          </w:tblCellMar>
        </w:tblPrEx>
        <w:trPr>
          <w:trHeight w:val="202" w:hRule="atLeast"/>
        </w:trPr>
        <w:tc>
          <w:tcPr>
            <w:tcW w:w="638"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sz w:val="18"/>
                <w:szCs w:val="18"/>
              </w:rPr>
            </w:pPr>
            <w:r>
              <w:rPr>
                <w:rFonts w:hint="eastAsia" w:ascii="仿宋" w:hAnsi="仿宋" w:eastAsia="仿宋" w:cs="仿宋"/>
                <w:sz w:val="18"/>
                <w:szCs w:val="18"/>
                <w:lang w:eastAsia="zh-CN"/>
              </w:rPr>
              <w:t>社会效益：</w:t>
            </w:r>
            <w:r>
              <w:rPr>
                <w:rFonts w:hint="eastAsia" w:ascii="仿宋" w:hAnsi="仿宋" w:eastAsia="仿宋" w:cs="仿宋"/>
                <w:sz w:val="18"/>
                <w:szCs w:val="18"/>
                <w:lang w:val="en-US" w:eastAsia="zh-CN"/>
              </w:rPr>
              <w:t>完成</w:t>
            </w:r>
            <w:r>
              <w:rPr>
                <w:rFonts w:hint="eastAsia" w:ascii="仿宋" w:hAnsi="仿宋" w:eastAsia="仿宋" w:cs="仿宋"/>
                <w:sz w:val="18"/>
                <w:szCs w:val="18"/>
                <w:lang w:eastAsia="zh-CN"/>
              </w:rPr>
              <w:t>202</w:t>
            </w: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年</w:t>
            </w:r>
            <w:r>
              <w:rPr>
                <w:rFonts w:hint="eastAsia" w:ascii="仿宋" w:hAnsi="仿宋" w:eastAsia="仿宋" w:cs="仿宋"/>
                <w:sz w:val="18"/>
                <w:szCs w:val="18"/>
              </w:rPr>
              <w:t>《</w:t>
            </w:r>
            <w:r>
              <w:rPr>
                <w:rFonts w:hint="eastAsia" w:ascii="仿宋" w:hAnsi="仿宋" w:eastAsia="仿宋" w:cs="仿宋"/>
                <w:sz w:val="18"/>
                <w:szCs w:val="18"/>
                <w:lang w:eastAsia="zh-CN"/>
              </w:rPr>
              <w:t>自治区自然资源</w:t>
            </w:r>
            <w:r>
              <w:rPr>
                <w:rFonts w:hint="eastAsia" w:ascii="仿宋" w:hAnsi="仿宋" w:eastAsia="仿宋" w:cs="仿宋"/>
                <w:sz w:val="18"/>
                <w:szCs w:val="18"/>
                <w:lang w:val="en-US" w:eastAsia="zh-CN"/>
              </w:rPr>
              <w:t>综合统计报告》</w:t>
            </w:r>
            <w:r>
              <w:rPr>
                <w:rFonts w:hint="eastAsia" w:ascii="仿宋" w:hAnsi="仿宋" w:eastAsia="仿宋" w:cs="仿宋"/>
                <w:sz w:val="18"/>
                <w:szCs w:val="18"/>
              </w:rPr>
              <w:t xml:space="preserve"> 该指标得满分（30分）否则不得分；                            </w:t>
            </w:r>
          </w:p>
        </w:tc>
        <w:tc>
          <w:tcPr>
            <w:tcW w:w="405"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77" w:hRule="atLeast"/>
        </w:trPr>
        <w:tc>
          <w:tcPr>
            <w:tcW w:w="638"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 xml:space="preserve">③生态效益：无                                                 </w:t>
            </w:r>
          </w:p>
        </w:tc>
        <w:tc>
          <w:tcPr>
            <w:tcW w:w="405"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409" w:hRule="atLeast"/>
        </w:trPr>
        <w:tc>
          <w:tcPr>
            <w:tcW w:w="638"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348"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757"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10500"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sz w:val="18"/>
                <w:szCs w:val="18"/>
              </w:rPr>
            </w:pPr>
            <w:r>
              <w:rPr>
                <w:rFonts w:hint="eastAsia" w:ascii="仿宋" w:hAnsi="仿宋" w:eastAsia="仿宋" w:cs="仿宋"/>
                <w:sz w:val="18"/>
                <w:szCs w:val="18"/>
              </w:rPr>
              <w:t>④可持续影响：无</w:t>
            </w:r>
          </w:p>
        </w:tc>
        <w:tc>
          <w:tcPr>
            <w:tcW w:w="405" w:type="dxa"/>
            <w:vMerge w:val="continue"/>
            <w:tcBorders>
              <w:left w:val="single" w:color="000000" w:sz="4" w:space="0"/>
              <w:right w:val="single" w:color="000000" w:sz="4" w:space="0"/>
            </w:tcBorders>
            <w:vAlign w:val="center"/>
          </w:tcPr>
          <w:p>
            <w:pPr>
              <w:ind w:firstLine="883"/>
              <w:jc w:val="left"/>
              <w:rPr>
                <w:rFonts w:ascii="仿宋" w:hAnsi="仿宋" w:eastAsia="仿宋" w:cs="仿宋"/>
                <w:sz w:val="18"/>
                <w:szCs w:val="18"/>
              </w:rPr>
            </w:pPr>
          </w:p>
        </w:tc>
      </w:tr>
      <w:tr>
        <w:tblPrEx>
          <w:tblCellMar>
            <w:top w:w="0" w:type="dxa"/>
            <w:left w:w="108" w:type="dxa"/>
            <w:bottom w:w="0" w:type="dxa"/>
            <w:right w:w="108" w:type="dxa"/>
          </w:tblCellMar>
        </w:tblPrEx>
        <w:trPr>
          <w:trHeight w:val="222" w:hRule="atLeast"/>
        </w:trPr>
        <w:tc>
          <w:tcPr>
            <w:tcW w:w="638"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合共计</w:t>
            </w:r>
          </w:p>
        </w:tc>
        <w:tc>
          <w:tcPr>
            <w:tcW w:w="3105" w:type="dxa"/>
            <w:gridSpan w:val="2"/>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100分</w:t>
            </w:r>
          </w:p>
        </w:tc>
        <w:tc>
          <w:tcPr>
            <w:tcW w:w="10500"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p>
        </w:tc>
        <w:tc>
          <w:tcPr>
            <w:tcW w:w="405" w:type="dxa"/>
            <w:tcBorders>
              <w:top w:val="single" w:color="000000" w:sz="4" w:space="0"/>
              <w:left w:val="single" w:color="000000" w:sz="4" w:space="0"/>
              <w:bottom w:val="single" w:color="000000" w:sz="4" w:space="0"/>
              <w:right w:val="single" w:color="000000" w:sz="4" w:space="0"/>
            </w:tcBorders>
            <w:vAlign w:val="center"/>
          </w:tcPr>
          <w:p>
            <w:pPr>
              <w:ind w:firstLine="883"/>
              <w:jc w:val="left"/>
              <w:rPr>
                <w:rFonts w:ascii="仿宋" w:hAnsi="仿宋" w:eastAsia="仿宋" w:cs="仿宋"/>
                <w:sz w:val="18"/>
                <w:szCs w:val="18"/>
              </w:rPr>
            </w:pPr>
            <w:r>
              <w:rPr>
                <w:rFonts w:hint="eastAsia" w:ascii="仿宋" w:hAnsi="仿宋" w:eastAsia="仿宋" w:cs="仿宋"/>
                <w:sz w:val="18"/>
                <w:szCs w:val="18"/>
              </w:rPr>
              <w:t>10</w:t>
            </w:r>
          </w:p>
        </w:tc>
      </w:tr>
    </w:tbl>
    <w:p>
      <w:pPr>
        <w:spacing w:line="540" w:lineRule="exact"/>
        <w:rPr>
          <w:rStyle w:val="23"/>
          <w:rFonts w:eastAsia="仿宋"/>
          <w:b w:val="0"/>
          <w:spacing w:val="-4"/>
          <w:sz w:val="30"/>
          <w:szCs w:val="30"/>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简体">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30</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10EA9"/>
    <w:multiLevelType w:val="singleLevel"/>
    <w:tmpl w:val="82D10EA9"/>
    <w:lvl w:ilvl="0" w:tentative="0">
      <w:start w:val="1"/>
      <w:numFmt w:val="decimal"/>
      <w:suff w:val="nothing"/>
      <w:lvlText w:val="（%1）"/>
      <w:lvlJc w:val="left"/>
    </w:lvl>
  </w:abstractNum>
  <w:abstractNum w:abstractNumId="1">
    <w:nsid w:val="C22C0022"/>
    <w:multiLevelType w:val="singleLevel"/>
    <w:tmpl w:val="C22C0022"/>
    <w:lvl w:ilvl="0" w:tentative="0">
      <w:start w:val="1"/>
      <w:numFmt w:val="decimal"/>
      <w:suff w:val="nothing"/>
      <w:lvlText w:val="（%1）"/>
      <w:lvlJc w:val="left"/>
    </w:lvl>
  </w:abstractNum>
  <w:abstractNum w:abstractNumId="2">
    <w:nsid w:val="C873EC91"/>
    <w:multiLevelType w:val="singleLevel"/>
    <w:tmpl w:val="C873EC91"/>
    <w:lvl w:ilvl="0" w:tentative="0">
      <w:start w:val="2"/>
      <w:numFmt w:val="chineseCounting"/>
      <w:suff w:val="nothing"/>
      <w:lvlText w:val="（%1）"/>
      <w:lvlJc w:val="left"/>
      <w:rPr>
        <w:rFonts w:hint="eastAsia"/>
      </w:rPr>
    </w:lvl>
  </w:abstractNum>
  <w:abstractNum w:abstractNumId="3">
    <w:nsid w:val="D1FB865A"/>
    <w:multiLevelType w:val="singleLevel"/>
    <w:tmpl w:val="D1FB865A"/>
    <w:lvl w:ilvl="0" w:tentative="0">
      <w:start w:val="2"/>
      <w:numFmt w:val="decimal"/>
      <w:suff w:val="nothing"/>
      <w:lvlText w:val="%1、"/>
      <w:lvlJc w:val="left"/>
    </w:lvl>
  </w:abstractNum>
  <w:abstractNum w:abstractNumId="4">
    <w:nsid w:val="D99C1811"/>
    <w:multiLevelType w:val="singleLevel"/>
    <w:tmpl w:val="D99C1811"/>
    <w:lvl w:ilvl="0" w:tentative="0">
      <w:start w:val="2"/>
      <w:numFmt w:val="decimal"/>
      <w:suff w:val="nothing"/>
      <w:lvlText w:val="（%1）"/>
      <w:lvlJc w:val="left"/>
    </w:lvl>
  </w:abstractNum>
  <w:abstractNum w:abstractNumId="5">
    <w:nsid w:val="DEF60FE1"/>
    <w:multiLevelType w:val="singleLevel"/>
    <w:tmpl w:val="DEF60FE1"/>
    <w:lvl w:ilvl="0" w:tentative="0">
      <w:start w:val="1"/>
      <w:numFmt w:val="decimal"/>
      <w:suff w:val="nothing"/>
      <w:lvlText w:val="（%1）"/>
      <w:lvlJc w:val="left"/>
    </w:lvl>
  </w:abstractNum>
  <w:abstractNum w:abstractNumId="6">
    <w:nsid w:val="FF9379A8"/>
    <w:multiLevelType w:val="singleLevel"/>
    <w:tmpl w:val="FF9379A8"/>
    <w:lvl w:ilvl="0" w:tentative="0">
      <w:start w:val="2"/>
      <w:numFmt w:val="chineseCounting"/>
      <w:suff w:val="nothing"/>
      <w:lvlText w:val="（%1）"/>
      <w:lvlJc w:val="left"/>
      <w:rPr>
        <w:rFonts w:hint="eastAsia"/>
      </w:rPr>
    </w:lvl>
  </w:abstractNum>
  <w:abstractNum w:abstractNumId="7">
    <w:nsid w:val="0657569C"/>
    <w:multiLevelType w:val="multilevel"/>
    <w:tmpl w:val="0657569C"/>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16B29BF"/>
    <w:multiLevelType w:val="singleLevel"/>
    <w:tmpl w:val="116B29BF"/>
    <w:lvl w:ilvl="0" w:tentative="0">
      <w:start w:val="3"/>
      <w:numFmt w:val="chineseCounting"/>
      <w:suff w:val="nothing"/>
      <w:lvlText w:val="%1、"/>
      <w:lvlJc w:val="left"/>
      <w:rPr>
        <w:rFonts w:hint="eastAsia"/>
      </w:rPr>
    </w:lvl>
  </w:abstractNum>
  <w:abstractNum w:abstractNumId="9">
    <w:nsid w:val="15422E6C"/>
    <w:multiLevelType w:val="multilevel"/>
    <w:tmpl w:val="15422E6C"/>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F2AB715"/>
    <w:multiLevelType w:val="singleLevel"/>
    <w:tmpl w:val="1F2AB715"/>
    <w:lvl w:ilvl="0" w:tentative="0">
      <w:start w:val="2"/>
      <w:numFmt w:val="chineseCounting"/>
      <w:suff w:val="nothing"/>
      <w:lvlText w:val="%1、"/>
      <w:lvlJc w:val="left"/>
      <w:rPr>
        <w:rFonts w:hint="eastAsia"/>
      </w:rPr>
    </w:lvl>
  </w:abstractNum>
  <w:abstractNum w:abstractNumId="11">
    <w:nsid w:val="27813159"/>
    <w:multiLevelType w:val="singleLevel"/>
    <w:tmpl w:val="27813159"/>
    <w:lvl w:ilvl="0" w:tentative="0">
      <w:start w:val="3"/>
      <w:numFmt w:val="chineseCounting"/>
      <w:suff w:val="nothing"/>
      <w:lvlText w:val="（%1）"/>
      <w:lvlJc w:val="left"/>
      <w:rPr>
        <w:rFonts w:hint="eastAsia"/>
      </w:rPr>
    </w:lvl>
  </w:abstractNum>
  <w:abstractNum w:abstractNumId="12">
    <w:nsid w:val="28132E01"/>
    <w:multiLevelType w:val="multilevel"/>
    <w:tmpl w:val="28132E01"/>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C0D1A48"/>
    <w:multiLevelType w:val="multilevel"/>
    <w:tmpl w:val="2C0D1A48"/>
    <w:lvl w:ilvl="0" w:tentative="0">
      <w:start w:val="1"/>
      <w:numFmt w:val="decimalEnclosedCircle"/>
      <w:lvlText w:val="%1"/>
      <w:lvlJc w:val="left"/>
      <w:pPr>
        <w:ind w:left="1383" w:hanging="720"/>
      </w:pPr>
      <w:rPr>
        <w:rFonts w:hint="default"/>
      </w:rPr>
    </w:lvl>
    <w:lvl w:ilvl="1" w:tentative="0">
      <w:start w:val="1"/>
      <w:numFmt w:val="lowerLetter"/>
      <w:lvlText w:val="%2)"/>
      <w:lvlJc w:val="left"/>
      <w:pPr>
        <w:ind w:left="1503" w:hanging="420"/>
      </w:pPr>
    </w:lvl>
    <w:lvl w:ilvl="2" w:tentative="0">
      <w:start w:val="1"/>
      <w:numFmt w:val="lowerRoman"/>
      <w:lvlText w:val="%3."/>
      <w:lvlJc w:val="right"/>
      <w:pPr>
        <w:ind w:left="1923" w:hanging="420"/>
      </w:pPr>
    </w:lvl>
    <w:lvl w:ilvl="3" w:tentative="0">
      <w:start w:val="1"/>
      <w:numFmt w:val="decimal"/>
      <w:lvlText w:val="%4."/>
      <w:lvlJc w:val="left"/>
      <w:pPr>
        <w:ind w:left="2343" w:hanging="420"/>
      </w:pPr>
    </w:lvl>
    <w:lvl w:ilvl="4" w:tentative="0">
      <w:start w:val="1"/>
      <w:numFmt w:val="lowerLetter"/>
      <w:lvlText w:val="%5)"/>
      <w:lvlJc w:val="left"/>
      <w:pPr>
        <w:ind w:left="2763" w:hanging="420"/>
      </w:pPr>
    </w:lvl>
    <w:lvl w:ilvl="5" w:tentative="0">
      <w:start w:val="1"/>
      <w:numFmt w:val="lowerRoman"/>
      <w:lvlText w:val="%6."/>
      <w:lvlJc w:val="right"/>
      <w:pPr>
        <w:ind w:left="3183" w:hanging="420"/>
      </w:pPr>
    </w:lvl>
    <w:lvl w:ilvl="6" w:tentative="0">
      <w:start w:val="1"/>
      <w:numFmt w:val="decimal"/>
      <w:lvlText w:val="%7."/>
      <w:lvlJc w:val="left"/>
      <w:pPr>
        <w:ind w:left="3603" w:hanging="420"/>
      </w:pPr>
    </w:lvl>
    <w:lvl w:ilvl="7" w:tentative="0">
      <w:start w:val="1"/>
      <w:numFmt w:val="lowerLetter"/>
      <w:lvlText w:val="%8)"/>
      <w:lvlJc w:val="left"/>
      <w:pPr>
        <w:ind w:left="4023" w:hanging="420"/>
      </w:pPr>
    </w:lvl>
    <w:lvl w:ilvl="8" w:tentative="0">
      <w:start w:val="1"/>
      <w:numFmt w:val="lowerRoman"/>
      <w:lvlText w:val="%9."/>
      <w:lvlJc w:val="right"/>
      <w:pPr>
        <w:ind w:left="4443" w:hanging="420"/>
      </w:pPr>
    </w:lvl>
  </w:abstractNum>
  <w:abstractNum w:abstractNumId="14">
    <w:nsid w:val="3E4C2032"/>
    <w:multiLevelType w:val="multilevel"/>
    <w:tmpl w:val="3E4C203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0A2395D"/>
    <w:multiLevelType w:val="multilevel"/>
    <w:tmpl w:val="40A2395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BB936E5"/>
    <w:multiLevelType w:val="multilevel"/>
    <w:tmpl w:val="4BB936E5"/>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7A3CB6D"/>
    <w:multiLevelType w:val="singleLevel"/>
    <w:tmpl w:val="67A3CB6D"/>
    <w:lvl w:ilvl="0" w:tentative="0">
      <w:start w:val="3"/>
      <w:numFmt w:val="decimal"/>
      <w:suff w:val="nothing"/>
      <w:lvlText w:val="（%1）"/>
      <w:lvlJc w:val="left"/>
    </w:lvl>
  </w:abstractNum>
  <w:abstractNum w:abstractNumId="18">
    <w:nsid w:val="71203B36"/>
    <w:multiLevelType w:val="singleLevel"/>
    <w:tmpl w:val="71203B36"/>
    <w:lvl w:ilvl="0" w:tentative="0">
      <w:start w:val="1"/>
      <w:numFmt w:val="decimal"/>
      <w:lvlText w:val="%1."/>
      <w:lvlJc w:val="left"/>
      <w:pPr>
        <w:tabs>
          <w:tab w:val="left" w:pos="312"/>
        </w:tabs>
      </w:pPr>
    </w:lvl>
  </w:abstractNum>
  <w:num w:numId="1">
    <w:abstractNumId w:val="10"/>
  </w:num>
  <w:num w:numId="2">
    <w:abstractNumId w:val="3"/>
  </w:num>
  <w:num w:numId="3">
    <w:abstractNumId w:val="4"/>
  </w:num>
  <w:num w:numId="4">
    <w:abstractNumId w:val="17"/>
  </w:num>
  <w:num w:numId="5">
    <w:abstractNumId w:val="2"/>
  </w:num>
  <w:num w:numId="6">
    <w:abstractNumId w:val="18"/>
  </w:num>
  <w:num w:numId="7">
    <w:abstractNumId w:val="0"/>
  </w:num>
  <w:num w:numId="8">
    <w:abstractNumId w:val="13"/>
  </w:num>
  <w:num w:numId="9">
    <w:abstractNumId w:val="5"/>
  </w:num>
  <w:num w:numId="10">
    <w:abstractNumId w:val="11"/>
  </w:num>
  <w:num w:numId="11">
    <w:abstractNumId w:val="8"/>
  </w:num>
  <w:num w:numId="12">
    <w:abstractNumId w:val="1"/>
  </w:num>
  <w:num w:numId="13">
    <w:abstractNumId w:val="6"/>
  </w:num>
  <w:num w:numId="14">
    <w:abstractNumId w:val="7"/>
  </w:num>
  <w:num w:numId="15">
    <w:abstractNumId w:val="9"/>
  </w:num>
  <w:num w:numId="16">
    <w:abstractNumId w:val="12"/>
  </w:num>
  <w:num w:numId="17">
    <w:abstractNumId w:val="15"/>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hZWVmYWFlYTI3ODJlOGYyMDE4MDM5NjA4ZmIxOWYifQ=="/>
  </w:docVars>
  <w:rsids>
    <w:rsidRoot w:val="00CA6457"/>
    <w:rsid w:val="00007694"/>
    <w:rsid w:val="00010F32"/>
    <w:rsid w:val="00032B5B"/>
    <w:rsid w:val="00056465"/>
    <w:rsid w:val="00057205"/>
    <w:rsid w:val="00066ADA"/>
    <w:rsid w:val="000717A1"/>
    <w:rsid w:val="00083DD8"/>
    <w:rsid w:val="00084693"/>
    <w:rsid w:val="000B12A4"/>
    <w:rsid w:val="000B2253"/>
    <w:rsid w:val="000C1C10"/>
    <w:rsid w:val="000E3AA1"/>
    <w:rsid w:val="000E50F0"/>
    <w:rsid w:val="000E586C"/>
    <w:rsid w:val="000F5389"/>
    <w:rsid w:val="0011204C"/>
    <w:rsid w:val="001132E0"/>
    <w:rsid w:val="001205EB"/>
    <w:rsid w:val="00121AE4"/>
    <w:rsid w:val="00146AAD"/>
    <w:rsid w:val="001652DA"/>
    <w:rsid w:val="00173A93"/>
    <w:rsid w:val="00180BFA"/>
    <w:rsid w:val="00185B71"/>
    <w:rsid w:val="001A1207"/>
    <w:rsid w:val="001A5F4D"/>
    <w:rsid w:val="001B04BE"/>
    <w:rsid w:val="001B3A40"/>
    <w:rsid w:val="001C667C"/>
    <w:rsid w:val="00200850"/>
    <w:rsid w:val="00203928"/>
    <w:rsid w:val="0020494A"/>
    <w:rsid w:val="0021476D"/>
    <w:rsid w:val="002264AC"/>
    <w:rsid w:val="0024686E"/>
    <w:rsid w:val="0027033A"/>
    <w:rsid w:val="002B272F"/>
    <w:rsid w:val="002F3951"/>
    <w:rsid w:val="002F4B3D"/>
    <w:rsid w:val="003177C2"/>
    <w:rsid w:val="00321DA0"/>
    <w:rsid w:val="0034363A"/>
    <w:rsid w:val="003563F6"/>
    <w:rsid w:val="00361B82"/>
    <w:rsid w:val="00364403"/>
    <w:rsid w:val="003748BB"/>
    <w:rsid w:val="00384E2C"/>
    <w:rsid w:val="003A79EB"/>
    <w:rsid w:val="003C18BC"/>
    <w:rsid w:val="003C6226"/>
    <w:rsid w:val="003E1DFA"/>
    <w:rsid w:val="003E32C0"/>
    <w:rsid w:val="003F1EBD"/>
    <w:rsid w:val="003F288B"/>
    <w:rsid w:val="00423BE8"/>
    <w:rsid w:val="00430B95"/>
    <w:rsid w:val="00433B83"/>
    <w:rsid w:val="004366A8"/>
    <w:rsid w:val="00437683"/>
    <w:rsid w:val="00461F72"/>
    <w:rsid w:val="00464900"/>
    <w:rsid w:val="00472496"/>
    <w:rsid w:val="00473C08"/>
    <w:rsid w:val="004800A2"/>
    <w:rsid w:val="00486593"/>
    <w:rsid w:val="004B0B3B"/>
    <w:rsid w:val="004B203C"/>
    <w:rsid w:val="004C49F6"/>
    <w:rsid w:val="0050203C"/>
    <w:rsid w:val="00502BA7"/>
    <w:rsid w:val="005162F1"/>
    <w:rsid w:val="00535153"/>
    <w:rsid w:val="005431D5"/>
    <w:rsid w:val="00554F82"/>
    <w:rsid w:val="0056390D"/>
    <w:rsid w:val="005719B0"/>
    <w:rsid w:val="00575130"/>
    <w:rsid w:val="00585568"/>
    <w:rsid w:val="005A0600"/>
    <w:rsid w:val="005C6D93"/>
    <w:rsid w:val="005D10D6"/>
    <w:rsid w:val="005D3ABC"/>
    <w:rsid w:val="005D4BA7"/>
    <w:rsid w:val="005E4C52"/>
    <w:rsid w:val="005F7905"/>
    <w:rsid w:val="0060013D"/>
    <w:rsid w:val="00603BB6"/>
    <w:rsid w:val="0060417F"/>
    <w:rsid w:val="00643E45"/>
    <w:rsid w:val="00667B7B"/>
    <w:rsid w:val="006810C1"/>
    <w:rsid w:val="00686042"/>
    <w:rsid w:val="00690223"/>
    <w:rsid w:val="00697688"/>
    <w:rsid w:val="006B3A32"/>
    <w:rsid w:val="0071730D"/>
    <w:rsid w:val="00724D6A"/>
    <w:rsid w:val="007564B8"/>
    <w:rsid w:val="00756E9C"/>
    <w:rsid w:val="00761A09"/>
    <w:rsid w:val="00765407"/>
    <w:rsid w:val="007806A5"/>
    <w:rsid w:val="007D008C"/>
    <w:rsid w:val="00801B81"/>
    <w:rsid w:val="00805DDB"/>
    <w:rsid w:val="00855E3A"/>
    <w:rsid w:val="0085781B"/>
    <w:rsid w:val="0087622B"/>
    <w:rsid w:val="00894499"/>
    <w:rsid w:val="00897DDC"/>
    <w:rsid w:val="008E1BC2"/>
    <w:rsid w:val="0090434C"/>
    <w:rsid w:val="00907649"/>
    <w:rsid w:val="00914864"/>
    <w:rsid w:val="00922CB9"/>
    <w:rsid w:val="0092516A"/>
    <w:rsid w:val="0092596C"/>
    <w:rsid w:val="009535B3"/>
    <w:rsid w:val="00976CA5"/>
    <w:rsid w:val="00980BE1"/>
    <w:rsid w:val="00986FA0"/>
    <w:rsid w:val="00994D90"/>
    <w:rsid w:val="00994F73"/>
    <w:rsid w:val="009A1EE3"/>
    <w:rsid w:val="009B073A"/>
    <w:rsid w:val="009B520F"/>
    <w:rsid w:val="009C1425"/>
    <w:rsid w:val="009E5CD9"/>
    <w:rsid w:val="009F1277"/>
    <w:rsid w:val="009F71CE"/>
    <w:rsid w:val="00A07A4B"/>
    <w:rsid w:val="00A15983"/>
    <w:rsid w:val="00A26421"/>
    <w:rsid w:val="00A27341"/>
    <w:rsid w:val="00A42136"/>
    <w:rsid w:val="00A4293B"/>
    <w:rsid w:val="00A44A58"/>
    <w:rsid w:val="00A67D50"/>
    <w:rsid w:val="00A75507"/>
    <w:rsid w:val="00A8691A"/>
    <w:rsid w:val="00A90C19"/>
    <w:rsid w:val="00AB5066"/>
    <w:rsid w:val="00AC0390"/>
    <w:rsid w:val="00AC1946"/>
    <w:rsid w:val="00AE29B8"/>
    <w:rsid w:val="00AE53D6"/>
    <w:rsid w:val="00AF7207"/>
    <w:rsid w:val="00B13B2C"/>
    <w:rsid w:val="00B27638"/>
    <w:rsid w:val="00B27C02"/>
    <w:rsid w:val="00B3112E"/>
    <w:rsid w:val="00B34045"/>
    <w:rsid w:val="00B40063"/>
    <w:rsid w:val="00B41F61"/>
    <w:rsid w:val="00B45B3F"/>
    <w:rsid w:val="00B47261"/>
    <w:rsid w:val="00B56B3C"/>
    <w:rsid w:val="00B74099"/>
    <w:rsid w:val="00B74AC8"/>
    <w:rsid w:val="00B93AC0"/>
    <w:rsid w:val="00BA46E6"/>
    <w:rsid w:val="00BA66CD"/>
    <w:rsid w:val="00BD0483"/>
    <w:rsid w:val="00C04BBF"/>
    <w:rsid w:val="00C04C8B"/>
    <w:rsid w:val="00C12FBF"/>
    <w:rsid w:val="00C20F12"/>
    <w:rsid w:val="00C5602E"/>
    <w:rsid w:val="00C56C72"/>
    <w:rsid w:val="00C8585A"/>
    <w:rsid w:val="00CA14D1"/>
    <w:rsid w:val="00CA3CCD"/>
    <w:rsid w:val="00CA6457"/>
    <w:rsid w:val="00CB05A8"/>
    <w:rsid w:val="00CC51AA"/>
    <w:rsid w:val="00CD045A"/>
    <w:rsid w:val="00CD3934"/>
    <w:rsid w:val="00CF2C1A"/>
    <w:rsid w:val="00D17F2E"/>
    <w:rsid w:val="00D30354"/>
    <w:rsid w:val="00D52D37"/>
    <w:rsid w:val="00D64781"/>
    <w:rsid w:val="00DC0075"/>
    <w:rsid w:val="00DE669E"/>
    <w:rsid w:val="00DF0F61"/>
    <w:rsid w:val="00DF42A0"/>
    <w:rsid w:val="00DF7C45"/>
    <w:rsid w:val="00E01832"/>
    <w:rsid w:val="00E14C3B"/>
    <w:rsid w:val="00E31565"/>
    <w:rsid w:val="00E46C51"/>
    <w:rsid w:val="00E548C8"/>
    <w:rsid w:val="00E632EB"/>
    <w:rsid w:val="00E659F7"/>
    <w:rsid w:val="00E66541"/>
    <w:rsid w:val="00E701A1"/>
    <w:rsid w:val="00E769FE"/>
    <w:rsid w:val="00E83DAC"/>
    <w:rsid w:val="00E877A3"/>
    <w:rsid w:val="00E87D03"/>
    <w:rsid w:val="00EA2CBE"/>
    <w:rsid w:val="00EA4B1E"/>
    <w:rsid w:val="00EC2A99"/>
    <w:rsid w:val="00ED3FB8"/>
    <w:rsid w:val="00EF6FF2"/>
    <w:rsid w:val="00F13E0B"/>
    <w:rsid w:val="00F14899"/>
    <w:rsid w:val="00F20494"/>
    <w:rsid w:val="00F2364A"/>
    <w:rsid w:val="00F32FEE"/>
    <w:rsid w:val="00F353B8"/>
    <w:rsid w:val="00F5720A"/>
    <w:rsid w:val="00F65D21"/>
    <w:rsid w:val="00F66AEA"/>
    <w:rsid w:val="00F71278"/>
    <w:rsid w:val="00F92FED"/>
    <w:rsid w:val="00FA15E9"/>
    <w:rsid w:val="00FA464C"/>
    <w:rsid w:val="00FB10BB"/>
    <w:rsid w:val="00FB4CA3"/>
    <w:rsid w:val="00FB5575"/>
    <w:rsid w:val="00FD6997"/>
    <w:rsid w:val="00FE711C"/>
    <w:rsid w:val="01B07C34"/>
    <w:rsid w:val="025C2A58"/>
    <w:rsid w:val="02DE573B"/>
    <w:rsid w:val="03C81C0C"/>
    <w:rsid w:val="051A56F5"/>
    <w:rsid w:val="062C6999"/>
    <w:rsid w:val="06514A44"/>
    <w:rsid w:val="066B75F3"/>
    <w:rsid w:val="066D6EAA"/>
    <w:rsid w:val="06DC1681"/>
    <w:rsid w:val="07585B24"/>
    <w:rsid w:val="07746E01"/>
    <w:rsid w:val="07AE344C"/>
    <w:rsid w:val="085061A4"/>
    <w:rsid w:val="08C662D4"/>
    <w:rsid w:val="09BD4D95"/>
    <w:rsid w:val="0A446F76"/>
    <w:rsid w:val="0B0F58D6"/>
    <w:rsid w:val="0B1F52D6"/>
    <w:rsid w:val="0B5A00BC"/>
    <w:rsid w:val="0B91077A"/>
    <w:rsid w:val="0CAE6E6D"/>
    <w:rsid w:val="0DFC6ECD"/>
    <w:rsid w:val="0E05256A"/>
    <w:rsid w:val="0F8D41CB"/>
    <w:rsid w:val="0FD26581"/>
    <w:rsid w:val="0FEE2F21"/>
    <w:rsid w:val="10B82908"/>
    <w:rsid w:val="11131439"/>
    <w:rsid w:val="11C75270"/>
    <w:rsid w:val="122D652B"/>
    <w:rsid w:val="12637CC3"/>
    <w:rsid w:val="12B5308E"/>
    <w:rsid w:val="12E657C5"/>
    <w:rsid w:val="133C6E2A"/>
    <w:rsid w:val="13CA006F"/>
    <w:rsid w:val="13D73E24"/>
    <w:rsid w:val="1560732C"/>
    <w:rsid w:val="15F532E0"/>
    <w:rsid w:val="167C7687"/>
    <w:rsid w:val="168B3546"/>
    <w:rsid w:val="181A5E66"/>
    <w:rsid w:val="19375EE1"/>
    <w:rsid w:val="193D3CA5"/>
    <w:rsid w:val="1A2374E0"/>
    <w:rsid w:val="1C317CE2"/>
    <w:rsid w:val="1C93493C"/>
    <w:rsid w:val="1CCB20B1"/>
    <w:rsid w:val="1D164774"/>
    <w:rsid w:val="1DD45808"/>
    <w:rsid w:val="1DED42AC"/>
    <w:rsid w:val="1E2152FB"/>
    <w:rsid w:val="1F703EFB"/>
    <w:rsid w:val="20005763"/>
    <w:rsid w:val="201209AE"/>
    <w:rsid w:val="20FB313D"/>
    <w:rsid w:val="21664C39"/>
    <w:rsid w:val="220B4804"/>
    <w:rsid w:val="22FA71A3"/>
    <w:rsid w:val="24155071"/>
    <w:rsid w:val="24666D07"/>
    <w:rsid w:val="248101BB"/>
    <w:rsid w:val="258904E7"/>
    <w:rsid w:val="267514C2"/>
    <w:rsid w:val="273C25A6"/>
    <w:rsid w:val="278B653F"/>
    <w:rsid w:val="282475E3"/>
    <w:rsid w:val="282B3E9D"/>
    <w:rsid w:val="28F17E5A"/>
    <w:rsid w:val="290A0F1C"/>
    <w:rsid w:val="29AB2E77"/>
    <w:rsid w:val="29E421D9"/>
    <w:rsid w:val="2A6E5995"/>
    <w:rsid w:val="2AAE58D7"/>
    <w:rsid w:val="2ACD0453"/>
    <w:rsid w:val="2B0A645E"/>
    <w:rsid w:val="2C5B0504"/>
    <w:rsid w:val="2C6100C1"/>
    <w:rsid w:val="2CC15DE5"/>
    <w:rsid w:val="2E8C4181"/>
    <w:rsid w:val="2F9A7C34"/>
    <w:rsid w:val="2FBF4BFA"/>
    <w:rsid w:val="303E28B2"/>
    <w:rsid w:val="31C926F0"/>
    <w:rsid w:val="3235157C"/>
    <w:rsid w:val="3264220D"/>
    <w:rsid w:val="3286332F"/>
    <w:rsid w:val="32A83563"/>
    <w:rsid w:val="33C84D00"/>
    <w:rsid w:val="33D42114"/>
    <w:rsid w:val="347D2BC6"/>
    <w:rsid w:val="357065AB"/>
    <w:rsid w:val="36134AB5"/>
    <w:rsid w:val="36A370F1"/>
    <w:rsid w:val="38872456"/>
    <w:rsid w:val="3963178C"/>
    <w:rsid w:val="3A4F2C33"/>
    <w:rsid w:val="3A766411"/>
    <w:rsid w:val="3A9248CD"/>
    <w:rsid w:val="3AE12A26"/>
    <w:rsid w:val="3B1A6374"/>
    <w:rsid w:val="3C0A77FE"/>
    <w:rsid w:val="3CED0699"/>
    <w:rsid w:val="3E262B5B"/>
    <w:rsid w:val="3E2E0BF1"/>
    <w:rsid w:val="3EB02FD6"/>
    <w:rsid w:val="3F805623"/>
    <w:rsid w:val="3FDE638F"/>
    <w:rsid w:val="41CC2676"/>
    <w:rsid w:val="424D663D"/>
    <w:rsid w:val="426C5478"/>
    <w:rsid w:val="42E3660E"/>
    <w:rsid w:val="42FB1A6B"/>
    <w:rsid w:val="431B6ED8"/>
    <w:rsid w:val="441C7845"/>
    <w:rsid w:val="45114C22"/>
    <w:rsid w:val="45252EB9"/>
    <w:rsid w:val="46B21672"/>
    <w:rsid w:val="46D64942"/>
    <w:rsid w:val="46EB783F"/>
    <w:rsid w:val="47F71E45"/>
    <w:rsid w:val="488B4866"/>
    <w:rsid w:val="48D9151A"/>
    <w:rsid w:val="4906450A"/>
    <w:rsid w:val="492D1D95"/>
    <w:rsid w:val="496F4578"/>
    <w:rsid w:val="49924529"/>
    <w:rsid w:val="4A5653C7"/>
    <w:rsid w:val="4B5E471A"/>
    <w:rsid w:val="4B832215"/>
    <w:rsid w:val="4C63256E"/>
    <w:rsid w:val="4F391364"/>
    <w:rsid w:val="4F552460"/>
    <w:rsid w:val="4F5F526E"/>
    <w:rsid w:val="4FCC6863"/>
    <w:rsid w:val="500A214A"/>
    <w:rsid w:val="502A587C"/>
    <w:rsid w:val="516E79EA"/>
    <w:rsid w:val="522D604D"/>
    <w:rsid w:val="52426781"/>
    <w:rsid w:val="526B4A52"/>
    <w:rsid w:val="5297585E"/>
    <w:rsid w:val="52A15B9E"/>
    <w:rsid w:val="52AD7D6F"/>
    <w:rsid w:val="534722A1"/>
    <w:rsid w:val="545A24A8"/>
    <w:rsid w:val="547F1F0F"/>
    <w:rsid w:val="54C53DC5"/>
    <w:rsid w:val="5549519D"/>
    <w:rsid w:val="55545149"/>
    <w:rsid w:val="5557596B"/>
    <w:rsid w:val="56261924"/>
    <w:rsid w:val="59915890"/>
    <w:rsid w:val="59DC2E5A"/>
    <w:rsid w:val="59ED3476"/>
    <w:rsid w:val="5A5F25C6"/>
    <w:rsid w:val="5B596DFC"/>
    <w:rsid w:val="5C76466C"/>
    <w:rsid w:val="5DAE6D00"/>
    <w:rsid w:val="5DF03945"/>
    <w:rsid w:val="5F03526B"/>
    <w:rsid w:val="5F0B5BB8"/>
    <w:rsid w:val="617A085F"/>
    <w:rsid w:val="62E515AF"/>
    <w:rsid w:val="63112E21"/>
    <w:rsid w:val="637C2815"/>
    <w:rsid w:val="63E8113D"/>
    <w:rsid w:val="63E8362C"/>
    <w:rsid w:val="64800838"/>
    <w:rsid w:val="65760E4C"/>
    <w:rsid w:val="65765EDA"/>
    <w:rsid w:val="661B7749"/>
    <w:rsid w:val="666B4FDC"/>
    <w:rsid w:val="682144B7"/>
    <w:rsid w:val="686C190F"/>
    <w:rsid w:val="690B44E7"/>
    <w:rsid w:val="696350A8"/>
    <w:rsid w:val="6A9629CD"/>
    <w:rsid w:val="6AFA59F3"/>
    <w:rsid w:val="6B503F77"/>
    <w:rsid w:val="6B825F39"/>
    <w:rsid w:val="6CA66FBF"/>
    <w:rsid w:val="6DD54C21"/>
    <w:rsid w:val="6E311968"/>
    <w:rsid w:val="6F4638FD"/>
    <w:rsid w:val="713D3CD7"/>
    <w:rsid w:val="727A3862"/>
    <w:rsid w:val="72E55CC3"/>
    <w:rsid w:val="73150018"/>
    <w:rsid w:val="735A0643"/>
    <w:rsid w:val="75FC2F67"/>
    <w:rsid w:val="768E686D"/>
    <w:rsid w:val="7736622E"/>
    <w:rsid w:val="783168A8"/>
    <w:rsid w:val="78393A20"/>
    <w:rsid w:val="7A353D0B"/>
    <w:rsid w:val="7A5A6EA0"/>
    <w:rsid w:val="7AA61B75"/>
    <w:rsid w:val="7C894555"/>
    <w:rsid w:val="7CB927D8"/>
    <w:rsid w:val="7D3A5E2F"/>
    <w:rsid w:val="7DD5166A"/>
    <w:rsid w:val="7E474901"/>
    <w:rsid w:val="7F8A15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6"/>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7"/>
    <w:autoRedefine/>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Body Text"/>
    <w:basedOn w:val="1"/>
    <w:autoRedefine/>
    <w:qFormat/>
    <w:uiPriority w:val="0"/>
    <w:pPr>
      <w:spacing w:after="120"/>
    </w:pPr>
  </w:style>
  <w:style w:type="paragraph" w:styleId="12">
    <w:name w:val="Body Text Indent"/>
    <w:basedOn w:val="1"/>
    <w:autoRedefine/>
    <w:qFormat/>
    <w:uiPriority w:val="0"/>
    <w:pPr>
      <w:spacing w:after="120"/>
      <w:ind w:left="420" w:leftChars="200"/>
    </w:pPr>
    <w:rPr>
      <w:rFonts w:ascii="Calibri" w:hAnsi="Calibri"/>
    </w:rPr>
  </w:style>
  <w:style w:type="paragraph" w:styleId="13">
    <w:name w:val="Balloon Text"/>
    <w:basedOn w:val="1"/>
    <w:link w:val="50"/>
    <w:autoRedefine/>
    <w:semiHidden/>
    <w:unhideWhenUsed/>
    <w:qFormat/>
    <w:uiPriority w:val="99"/>
    <w:rPr>
      <w:sz w:val="18"/>
      <w:szCs w:val="18"/>
    </w:rPr>
  </w:style>
  <w:style w:type="paragraph" w:styleId="14">
    <w:name w:val="footer"/>
    <w:basedOn w:val="1"/>
    <w:link w:val="49"/>
    <w:autoRedefine/>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5"/>
    <w:autoRedefine/>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18">
    <w:name w:val="Title"/>
    <w:basedOn w:val="1"/>
    <w:next w:val="1"/>
    <w:link w:val="34"/>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1"/>
    <w:autoRedefine/>
    <w:qFormat/>
    <w:uiPriority w:val="0"/>
    <w:pPr>
      <w:spacing w:after="0"/>
      <w:ind w:firstLine="200" w:firstLineChars="200"/>
    </w:pPr>
  </w:style>
  <w:style w:type="paragraph" w:styleId="20">
    <w:name w:val="Body Text First Indent 2"/>
    <w:basedOn w:val="12"/>
    <w:autoRedefine/>
    <w:qFormat/>
    <w:uiPriority w:val="0"/>
    <w:pPr>
      <w:ind w:firstLine="420" w:firstLineChars="200"/>
    </w:pPr>
  </w:style>
  <w:style w:type="character" w:styleId="23">
    <w:name w:val="Strong"/>
    <w:basedOn w:val="22"/>
    <w:autoRedefine/>
    <w:qFormat/>
    <w:uiPriority w:val="0"/>
    <w:rPr>
      <w:b/>
      <w:bCs/>
    </w:rPr>
  </w:style>
  <w:style w:type="character" w:styleId="24">
    <w:name w:val="Emphasis"/>
    <w:basedOn w:val="22"/>
    <w:autoRedefine/>
    <w:qFormat/>
    <w:uiPriority w:val="20"/>
    <w:rPr>
      <w:rFonts w:asciiTheme="minorHAnsi" w:hAnsiTheme="minorHAnsi"/>
      <w:b/>
      <w:i/>
      <w:iCs/>
    </w:rPr>
  </w:style>
  <w:style w:type="character" w:customStyle="1" w:styleId="25">
    <w:name w:val="标题 1 Char"/>
    <w:basedOn w:val="22"/>
    <w:link w:val="2"/>
    <w:autoRedefine/>
    <w:qFormat/>
    <w:uiPriority w:val="9"/>
    <w:rPr>
      <w:rFonts w:asciiTheme="majorHAnsi" w:hAnsiTheme="majorHAnsi" w:eastAsiaTheme="majorEastAsia"/>
      <w:b/>
      <w:bCs/>
      <w:kern w:val="32"/>
      <w:sz w:val="32"/>
      <w:szCs w:val="32"/>
    </w:rPr>
  </w:style>
  <w:style w:type="character" w:customStyle="1" w:styleId="26">
    <w:name w:val="标题 2 Char"/>
    <w:basedOn w:val="22"/>
    <w:link w:val="3"/>
    <w:autoRedefine/>
    <w:semiHidden/>
    <w:qFormat/>
    <w:uiPriority w:val="9"/>
    <w:rPr>
      <w:rFonts w:asciiTheme="majorHAnsi" w:hAnsiTheme="majorHAnsi" w:eastAsiaTheme="majorEastAsia"/>
      <w:b/>
      <w:bCs/>
      <w:i/>
      <w:iCs/>
      <w:sz w:val="28"/>
      <w:szCs w:val="28"/>
    </w:rPr>
  </w:style>
  <w:style w:type="character" w:customStyle="1" w:styleId="27">
    <w:name w:val="标题 3 Char"/>
    <w:basedOn w:val="22"/>
    <w:link w:val="4"/>
    <w:autoRedefine/>
    <w:qFormat/>
    <w:uiPriority w:val="9"/>
    <w:rPr>
      <w:rFonts w:asciiTheme="majorHAnsi" w:hAnsiTheme="majorHAnsi" w:eastAsiaTheme="majorEastAsia"/>
      <w:b/>
      <w:bCs/>
      <w:sz w:val="26"/>
      <w:szCs w:val="26"/>
    </w:rPr>
  </w:style>
  <w:style w:type="character" w:customStyle="1" w:styleId="28">
    <w:name w:val="标题 4 Char"/>
    <w:basedOn w:val="22"/>
    <w:link w:val="5"/>
    <w:autoRedefine/>
    <w:semiHidden/>
    <w:qFormat/>
    <w:uiPriority w:val="9"/>
    <w:rPr>
      <w:b/>
      <w:bCs/>
      <w:sz w:val="28"/>
      <w:szCs w:val="28"/>
    </w:rPr>
  </w:style>
  <w:style w:type="character" w:customStyle="1" w:styleId="29">
    <w:name w:val="标题 5 Char"/>
    <w:basedOn w:val="22"/>
    <w:link w:val="6"/>
    <w:autoRedefine/>
    <w:semiHidden/>
    <w:qFormat/>
    <w:uiPriority w:val="9"/>
    <w:rPr>
      <w:b/>
      <w:bCs/>
      <w:i/>
      <w:iCs/>
      <w:sz w:val="26"/>
      <w:szCs w:val="26"/>
    </w:rPr>
  </w:style>
  <w:style w:type="character" w:customStyle="1" w:styleId="30">
    <w:name w:val="标题 6 Char"/>
    <w:basedOn w:val="22"/>
    <w:link w:val="7"/>
    <w:autoRedefine/>
    <w:semiHidden/>
    <w:qFormat/>
    <w:uiPriority w:val="9"/>
    <w:rPr>
      <w:b/>
      <w:bCs/>
    </w:rPr>
  </w:style>
  <w:style w:type="character" w:customStyle="1" w:styleId="31">
    <w:name w:val="标题 7 Char"/>
    <w:basedOn w:val="22"/>
    <w:link w:val="8"/>
    <w:autoRedefine/>
    <w:semiHidden/>
    <w:qFormat/>
    <w:uiPriority w:val="9"/>
    <w:rPr>
      <w:sz w:val="24"/>
      <w:szCs w:val="24"/>
    </w:rPr>
  </w:style>
  <w:style w:type="character" w:customStyle="1" w:styleId="32">
    <w:name w:val="标题 8 Char"/>
    <w:basedOn w:val="22"/>
    <w:link w:val="9"/>
    <w:autoRedefine/>
    <w:semiHidden/>
    <w:qFormat/>
    <w:uiPriority w:val="9"/>
    <w:rPr>
      <w:i/>
      <w:iCs/>
      <w:sz w:val="24"/>
      <w:szCs w:val="24"/>
    </w:rPr>
  </w:style>
  <w:style w:type="character" w:customStyle="1" w:styleId="33">
    <w:name w:val="标题 9 Char"/>
    <w:basedOn w:val="22"/>
    <w:link w:val="10"/>
    <w:autoRedefine/>
    <w:semiHidden/>
    <w:qFormat/>
    <w:uiPriority w:val="9"/>
    <w:rPr>
      <w:rFonts w:asciiTheme="majorHAnsi" w:hAnsiTheme="majorHAnsi" w:eastAsiaTheme="majorEastAsia"/>
    </w:rPr>
  </w:style>
  <w:style w:type="character" w:customStyle="1" w:styleId="34">
    <w:name w:val="标题 Char"/>
    <w:basedOn w:val="22"/>
    <w:link w:val="18"/>
    <w:autoRedefine/>
    <w:qFormat/>
    <w:uiPriority w:val="10"/>
    <w:rPr>
      <w:rFonts w:asciiTheme="majorHAnsi" w:hAnsiTheme="majorHAnsi" w:eastAsiaTheme="majorEastAsia"/>
      <w:b/>
      <w:bCs/>
      <w:kern w:val="28"/>
      <w:sz w:val="32"/>
      <w:szCs w:val="32"/>
    </w:rPr>
  </w:style>
  <w:style w:type="character" w:customStyle="1" w:styleId="35">
    <w:name w:val="副标题 Char"/>
    <w:basedOn w:val="22"/>
    <w:link w:val="16"/>
    <w:autoRedefine/>
    <w:qFormat/>
    <w:uiPriority w:val="11"/>
    <w:rPr>
      <w:rFonts w:asciiTheme="majorHAnsi" w:hAnsiTheme="majorHAnsi" w:eastAsiaTheme="majorEastAsia"/>
      <w:sz w:val="24"/>
      <w:szCs w:val="24"/>
    </w:rPr>
  </w:style>
  <w:style w:type="paragraph" w:styleId="36">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autoRedefine/>
    <w:qFormat/>
    <w:uiPriority w:val="29"/>
    <w:pPr>
      <w:widowControl/>
      <w:jc w:val="left"/>
    </w:pPr>
    <w:rPr>
      <w:rFonts w:asciiTheme="minorHAnsi" w:hAnsiTheme="minorHAnsi" w:eastAsiaTheme="minorEastAsia"/>
      <w:i/>
      <w:kern w:val="0"/>
      <w:sz w:val="24"/>
    </w:rPr>
  </w:style>
  <w:style w:type="character" w:customStyle="1" w:styleId="39">
    <w:name w:val="引用 Char"/>
    <w:basedOn w:val="22"/>
    <w:link w:val="38"/>
    <w:autoRedefine/>
    <w:qFormat/>
    <w:uiPriority w:val="29"/>
    <w:rPr>
      <w:i/>
      <w:sz w:val="24"/>
      <w:szCs w:val="24"/>
    </w:rPr>
  </w:style>
  <w:style w:type="paragraph" w:styleId="40">
    <w:name w:val="Intense Quote"/>
    <w:basedOn w:val="1"/>
    <w:next w:val="1"/>
    <w:link w:val="41"/>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Char"/>
    <w:basedOn w:val="22"/>
    <w:link w:val="40"/>
    <w:autoRedefine/>
    <w:qFormat/>
    <w:uiPriority w:val="30"/>
    <w:rPr>
      <w:b/>
      <w:i/>
      <w:sz w:val="24"/>
    </w:rPr>
  </w:style>
  <w:style w:type="character" w:customStyle="1" w:styleId="42">
    <w:name w:val="不明显强调1"/>
    <w:autoRedefine/>
    <w:qFormat/>
    <w:uiPriority w:val="19"/>
    <w:rPr>
      <w:i/>
      <w:color w:val="585858" w:themeColor="text1" w:themeTint="A6"/>
    </w:rPr>
  </w:style>
  <w:style w:type="character" w:customStyle="1" w:styleId="43">
    <w:name w:val="明显强调1"/>
    <w:basedOn w:val="22"/>
    <w:autoRedefine/>
    <w:qFormat/>
    <w:uiPriority w:val="21"/>
    <w:rPr>
      <w:b/>
      <w:i/>
      <w:sz w:val="24"/>
      <w:szCs w:val="24"/>
      <w:u w:val="single"/>
    </w:rPr>
  </w:style>
  <w:style w:type="character" w:customStyle="1" w:styleId="44">
    <w:name w:val="不明显参考1"/>
    <w:basedOn w:val="22"/>
    <w:autoRedefine/>
    <w:qFormat/>
    <w:uiPriority w:val="31"/>
    <w:rPr>
      <w:sz w:val="24"/>
      <w:szCs w:val="24"/>
      <w:u w:val="single"/>
    </w:rPr>
  </w:style>
  <w:style w:type="character" w:customStyle="1" w:styleId="45">
    <w:name w:val="明显参考1"/>
    <w:basedOn w:val="22"/>
    <w:autoRedefine/>
    <w:qFormat/>
    <w:uiPriority w:val="32"/>
    <w:rPr>
      <w:b/>
      <w:sz w:val="24"/>
      <w:u w:val="single"/>
    </w:rPr>
  </w:style>
  <w:style w:type="character" w:customStyle="1" w:styleId="46">
    <w:name w:val="书籍标题1"/>
    <w:basedOn w:val="22"/>
    <w:autoRedefine/>
    <w:qFormat/>
    <w:uiPriority w:val="33"/>
    <w:rPr>
      <w:rFonts w:asciiTheme="majorHAnsi" w:hAnsiTheme="majorHAnsi" w:eastAsiaTheme="majorEastAsia"/>
      <w:b/>
      <w:i/>
      <w:sz w:val="24"/>
      <w:szCs w:val="24"/>
    </w:rPr>
  </w:style>
  <w:style w:type="paragraph" w:customStyle="1" w:styleId="47">
    <w:name w:val="TOC 标题1"/>
    <w:basedOn w:val="2"/>
    <w:next w:val="1"/>
    <w:autoRedefine/>
    <w:semiHidden/>
    <w:unhideWhenUsed/>
    <w:qFormat/>
    <w:uiPriority w:val="39"/>
    <w:pPr>
      <w:outlineLvl w:val="9"/>
    </w:pPr>
    <w:rPr>
      <w:lang w:eastAsia="en-US" w:bidi="en-US"/>
    </w:rPr>
  </w:style>
  <w:style w:type="character" w:customStyle="1" w:styleId="48">
    <w:name w:val="页眉 Char"/>
    <w:basedOn w:val="22"/>
    <w:link w:val="15"/>
    <w:autoRedefine/>
    <w:qFormat/>
    <w:uiPriority w:val="99"/>
    <w:rPr>
      <w:rFonts w:ascii="Calibri" w:hAnsi="Calibri" w:eastAsia="宋体"/>
      <w:kern w:val="2"/>
      <w:sz w:val="18"/>
      <w:szCs w:val="18"/>
    </w:rPr>
  </w:style>
  <w:style w:type="character" w:customStyle="1" w:styleId="49">
    <w:name w:val="页脚 Char"/>
    <w:basedOn w:val="22"/>
    <w:link w:val="14"/>
    <w:autoRedefine/>
    <w:qFormat/>
    <w:uiPriority w:val="99"/>
    <w:rPr>
      <w:rFonts w:ascii="Calibri" w:hAnsi="Calibri" w:eastAsia="宋体"/>
      <w:kern w:val="2"/>
      <w:sz w:val="18"/>
      <w:szCs w:val="18"/>
    </w:rPr>
  </w:style>
  <w:style w:type="character" w:customStyle="1" w:styleId="50">
    <w:name w:val="批注框文本 Char"/>
    <w:basedOn w:val="22"/>
    <w:link w:val="13"/>
    <w:autoRedefine/>
    <w:semiHidden/>
    <w:qFormat/>
    <w:uiPriority w:val="99"/>
    <w:rPr>
      <w:rFonts w:ascii="Times New Roman" w:hAnsi="Times New Roman" w:eastAsia="宋体"/>
      <w:kern w:val="2"/>
      <w:sz w:val="18"/>
      <w:szCs w:val="18"/>
    </w:rPr>
  </w:style>
  <w:style w:type="paragraph" w:customStyle="1" w:styleId="51">
    <w:name w:val="Heading2"/>
    <w:next w:val="1"/>
    <w:autoRedefine/>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autoRedefine/>
    <w:qFormat/>
    <w:uiPriority w:val="0"/>
    <w:rPr>
      <w:rFonts w:ascii="仿宋_GB2312" w:hAnsi="仿宋_GB2312" w:eastAsia="仿宋_GB2312" w:cs="仿宋_GB2312"/>
      <w:color w:val="000000"/>
      <w:sz w:val="32"/>
      <w:szCs w:val="32"/>
    </w:rPr>
  </w:style>
  <w:style w:type="paragraph" w:customStyle="1" w:styleId="53">
    <w:name w:val="正文1"/>
    <w:basedOn w:val="1"/>
    <w:autoRedefine/>
    <w:qFormat/>
    <w:uiPriority w:val="0"/>
    <w:pPr>
      <w:widowControl/>
    </w:pPr>
    <w:rPr>
      <w:rFonts w:ascii="Calibri" w:hAnsi="Calibri" w:eastAsia="Calibri"/>
      <w:kern w:val="0"/>
      <w:szCs w:val="20"/>
      <w:lang w:val="zh-CN"/>
    </w:rPr>
  </w:style>
  <w:style w:type="paragraph" w:customStyle="1" w:styleId="54">
    <w:name w:val="闻政-正文段落文字"/>
    <w:basedOn w:val="1"/>
    <w:autoRedefine/>
    <w:qFormat/>
    <w:uiPriority w:val="3"/>
    <w:pPr>
      <w:spacing w:line="500" w:lineRule="exact"/>
      <w:ind w:firstLine="200"/>
    </w:pPr>
    <w:rPr>
      <w:kern w:val="0"/>
      <w:szCs w:val="28"/>
    </w:rPr>
  </w:style>
  <w:style w:type="paragraph" w:customStyle="1" w:styleId="55">
    <w:name w:val="闻政-正文二级标题"/>
    <w:basedOn w:val="3"/>
    <w:next w:val="54"/>
    <w:autoRedefine/>
    <w:qFormat/>
    <w:uiPriority w:val="3"/>
    <w:pPr>
      <w:spacing w:before="120" w:line="500" w:lineRule="exact"/>
      <w:ind w:left="200" w:leftChars="200"/>
    </w:pPr>
    <w:rPr>
      <w:rFonts w:ascii="Times New Roman" w:hAnsi="Times New Roman"/>
    </w:rPr>
  </w:style>
  <w:style w:type="paragraph" w:customStyle="1" w:styleId="56">
    <w:name w:val="闻政-正文一级标题"/>
    <w:basedOn w:val="4"/>
    <w:next w:val="54"/>
    <w:autoRedefine/>
    <w:qFormat/>
    <w:uiPriority w:val="3"/>
    <w:pPr>
      <w:spacing w:before="120" w:line="500" w:lineRule="exact"/>
      <w:outlineLvl w:val="0"/>
    </w:pPr>
    <w:rPr>
      <w:rFonts w:ascii="黑体" w:hAnsi="黑体" w:eastAsia="黑体"/>
      <w:sz w:val="32"/>
    </w:rPr>
  </w:style>
  <w:style w:type="paragraph" w:customStyle="1" w:styleId="57">
    <w:name w:val="闻政-正文三级标题"/>
    <w:basedOn w:val="1"/>
    <w:next w:val="54"/>
    <w:autoRedefine/>
    <w:qFormat/>
    <w:uiPriority w:val="3"/>
    <w:pPr>
      <w:widowControl/>
      <w:spacing w:before="120" w:after="60" w:line="500" w:lineRule="exact"/>
      <w:ind w:left="200" w:leftChars="200"/>
    </w:pPr>
    <w:rPr>
      <w:b/>
      <w:snapToGrid w:val="0"/>
      <w:kern w:val="0"/>
      <w:szCs w:val="28"/>
    </w:rPr>
  </w:style>
  <w:style w:type="character" w:customStyle="1" w:styleId="58">
    <w:name w:val="font41"/>
    <w:basedOn w:val="22"/>
    <w:autoRedefine/>
    <w:qFormat/>
    <w:uiPriority w:val="0"/>
    <w:rPr>
      <w:rFonts w:hint="eastAsia" w:ascii="方正仿宋_GBK" w:hAnsi="方正仿宋_GBK" w:eastAsia="方正仿宋_GBK" w:cs="方正仿宋_GBK"/>
      <w:color w:val="000000"/>
      <w:sz w:val="24"/>
      <w:szCs w:val="24"/>
      <w:u w:val="none"/>
    </w:rPr>
  </w:style>
  <w:style w:type="character" w:customStyle="1" w:styleId="59">
    <w:name w:val="font51"/>
    <w:basedOn w:val="22"/>
    <w:autoRedefine/>
    <w:qFormat/>
    <w:uiPriority w:val="0"/>
    <w:rPr>
      <w:rFonts w:hint="default" w:ascii="Times New Roman" w:hAnsi="Times New Roman" w:cs="Times New Roman"/>
      <w:color w:val="000000"/>
      <w:sz w:val="24"/>
      <w:szCs w:val="24"/>
      <w:u w:val="none"/>
    </w:rPr>
  </w:style>
  <w:style w:type="character" w:customStyle="1" w:styleId="60">
    <w:name w:val="font21"/>
    <w:basedOn w:val="22"/>
    <w:autoRedefine/>
    <w:qFormat/>
    <w:uiPriority w:val="0"/>
    <w:rPr>
      <w:rFonts w:hint="eastAsia" w:ascii="方正仿宋_GBK" w:hAnsi="方正仿宋_GBK" w:eastAsia="方正仿宋_GBK" w:cs="方正仿宋_GBK"/>
      <w:color w:val="000000"/>
      <w:sz w:val="24"/>
      <w:szCs w:val="24"/>
      <w:u w:val="none"/>
    </w:rPr>
  </w:style>
  <w:style w:type="character" w:customStyle="1" w:styleId="61">
    <w:name w:val="font31"/>
    <w:basedOn w:val="22"/>
    <w:autoRedefine/>
    <w:qFormat/>
    <w:uiPriority w:val="0"/>
    <w:rPr>
      <w:rFonts w:hint="default" w:ascii="Times New Roman" w:hAnsi="Times New Roman" w:cs="Times New Roman"/>
      <w:color w:val="000000"/>
      <w:sz w:val="24"/>
      <w:szCs w:val="24"/>
      <w:u w:val="none"/>
    </w:rPr>
  </w:style>
  <w:style w:type="character" w:customStyle="1" w:styleId="62">
    <w:name w:val="font61"/>
    <w:basedOn w:val="22"/>
    <w:autoRedefine/>
    <w:qFormat/>
    <w:uiPriority w:val="0"/>
    <w:rPr>
      <w:rFonts w:hint="eastAsia" w:ascii="微软雅黑" w:hAnsi="微软雅黑" w:eastAsia="微软雅黑" w:cs="微软雅黑"/>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2F42-1356-46D6-A0BD-BE88B1EEFC2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2568</Words>
  <Characters>14642</Characters>
  <Lines>122</Lines>
  <Paragraphs>34</Paragraphs>
  <TotalTime>30</TotalTime>
  <ScaleCrop>false</ScaleCrop>
  <LinksUpToDate>false</LinksUpToDate>
  <CharactersWithSpaces>17176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2024-07-05T03:20:00Z</cp:lastPrinted>
  <dcterms:modified xsi:type="dcterms:W3CDTF">2026-08-12T04:07:54Z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78C2743299BE4768888F4262F691CE34</vt:lpwstr>
  </property>
  <property fmtid="{D5CDD505-2E9C-101B-9397-08002B2CF9AE}" pid="4" name="KSOSaveFontToCloudKey">
    <vt:lpwstr>0_btnclosed</vt:lpwstr>
  </property>
</Properties>
</file>