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79E1FF">
      <w:pPr>
        <w:spacing w:after="0" w:line="240" w:lineRule="auto"/>
        <w:rPr>
          <w:rFonts w:ascii="宋体" w:eastAsia="宋体"/>
          <w:sz w:val="32"/>
          <w:szCs w:val="32"/>
        </w:rPr>
      </w:pPr>
    </w:p>
    <w:p w14:paraId="47188BF6">
      <w:pPr>
        <w:spacing w:after="0" w:line="240" w:lineRule="auto"/>
        <w:rPr>
          <w:rFonts w:ascii="宋体" w:eastAsia="宋体"/>
          <w:sz w:val="44"/>
          <w:szCs w:val="44"/>
        </w:rPr>
      </w:pPr>
    </w:p>
    <w:p w14:paraId="218E8092">
      <w:pPr>
        <w:spacing w:after="0" w:line="240" w:lineRule="auto"/>
        <w:rPr>
          <w:rFonts w:ascii="宋体" w:eastAsia="宋体"/>
          <w:sz w:val="44"/>
          <w:szCs w:val="44"/>
        </w:rPr>
      </w:pPr>
    </w:p>
    <w:p w14:paraId="0E51EE87">
      <w:pPr>
        <w:spacing w:after="0" w:line="240" w:lineRule="auto"/>
        <w:rPr>
          <w:rFonts w:ascii="宋体" w:eastAsia="宋体"/>
          <w:sz w:val="44"/>
          <w:szCs w:val="44"/>
        </w:rPr>
      </w:pPr>
    </w:p>
    <w:p w14:paraId="794B5987">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新疆维吾尔自治区自然资源改革发展研究中心2025年度部门决算公开说明</w:t>
      </w:r>
    </w:p>
    <w:p w14:paraId="2B1B437E">
      <w:pPr>
        <w:rPr>
          <w:lang w:eastAsia="zh-CN"/>
        </w:rPr>
      </w:pPr>
      <w:r>
        <w:rPr>
          <w:sz w:val="0"/>
          <w:szCs w:val="0"/>
          <w:lang w:eastAsia="zh-CN"/>
        </w:rPr>
        <w:br w:type="page"/>
      </w:r>
    </w:p>
    <w:p w14:paraId="45841821">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79DC699D">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1A9F00E2">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26E745D7">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w:t>
      </w:r>
    </w:p>
    <w:p w14:paraId="63000E56">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5159C953">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15DA915">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7F846F0F">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734FF5C9">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69D5522">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6C7D8EA">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750307E">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3EAFD67">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27A8DDB">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4D8ABBB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A2B8B7D">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96E6B9C">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449D3329">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5CB13AF9">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84D307F">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0E980CD">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BE19B5D">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7A0E490E">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4794155A">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7E5E6B16">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6BFD756B">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61EA267A">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35E161A4">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195B9532">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8AD7ADF">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9E147FD">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833E077">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8A6ACB9">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10F189C">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2ADAFBF6">
      <w:pPr>
        <w:rPr>
          <w:lang w:eastAsia="zh-CN"/>
        </w:rPr>
      </w:pPr>
      <w:r>
        <w:rPr>
          <w:sz w:val="0"/>
          <w:szCs w:val="0"/>
          <w:lang w:eastAsia="zh-CN"/>
        </w:rPr>
        <w:br w:type="page"/>
      </w:r>
    </w:p>
    <w:p w14:paraId="3BED3344">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第一部分单位概况</w:t>
      </w:r>
    </w:p>
    <w:p w14:paraId="0C50F96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44B90E8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新疆维吾尔自治区自然资源改革发展研究中心是自治区自然资源厅直属全额事业单位，是自治区自然资源厅对自治区自然资源改革发展战略、总体布局开展咨询研究的专业机构。机构规格相当县处级。主要职责任务是：</w:t>
      </w:r>
    </w:p>
    <w:p w14:paraId="64ECDA7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（一）负责组织专家对国土空间规划与用途管制、生态保护修复、自然资源资产产权制度等自然资源领域重大改革与发展战略问题进行研究。</w:t>
      </w:r>
    </w:p>
    <w:p w14:paraId="3CF38CE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（二）负责对自然资源调查、评价、登记、规划、管理、保护和科技信息、合理有效利用等自然资源领域总体布局问题进行调查研究。</w:t>
      </w:r>
    </w:p>
    <w:p w14:paraId="7FA30C0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（三）负责自然资源调查、评价、登记、规划、管理、保护和科技信息、合理有效利用等政策、业务、科研等咨询研究相关工作。</w:t>
      </w:r>
    </w:p>
    <w:p w14:paraId="297E4A0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（四）负责开展自然资源经济理论和科学管理方法的研究，对自然资源科学基础理论、重大经济理论和学术问题进行研究。</w:t>
      </w:r>
    </w:p>
    <w:p w14:paraId="3C5C07B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（五）负责开展自然资源相关业务的技术咨询和服务工作。</w:t>
      </w:r>
    </w:p>
    <w:p w14:paraId="5C8F336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w:t>
      </w:r>
    </w:p>
    <w:p w14:paraId="747D1E2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新疆维吾尔自治区自然资源改革发展研究中心无下属预算单位。</w:t>
      </w:r>
    </w:p>
    <w:p w14:paraId="094EBF98">
      <w:pPr>
        <w:rPr>
          <w:lang w:eastAsia="zh-CN"/>
        </w:rPr>
      </w:pPr>
      <w:r>
        <w:rPr>
          <w:sz w:val="0"/>
          <w:szCs w:val="0"/>
          <w:lang w:eastAsia="zh-CN"/>
        </w:rPr>
        <w:br w:type="page"/>
      </w:r>
    </w:p>
    <w:p w14:paraId="215F2178">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7205371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6B603EE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2025年度收入总计427.87万元，其中：本年收入合计427.36万元，使用非财政拨款结余（含专用结余）0.00万元，年初结转和结余0.51万元。</w:t>
      </w:r>
    </w:p>
    <w:p w14:paraId="0C2B70F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2025年度支出总计427.87万元，其中：本年支出合计427.56万元，结余分配0.00万元，年末结转和结余0.31万元。</w:t>
      </w:r>
    </w:p>
    <w:p w14:paraId="6AC74EF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收入支出总体与上年相比，减少154.99万元，下降26.59%，主要原因是：根据自然资源厅工作安排，2025年我单位不再开展矿产资源价款评估的评审工作，评审费用减少。</w:t>
      </w:r>
    </w:p>
    <w:p w14:paraId="0ECF6C4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29AA3EF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本年收入427.36万元，其中：财政拨款收入427.04万元,占99.93%；上级补助收入0.00万元,占0.00%；事业收入0.00万元，占0.00%；经营收入0.00万元,占0.00%；附属单位上缴收入0.00万元，占0.00%；其他收入0.32万元，占0.07%。</w:t>
      </w:r>
    </w:p>
    <w:p w14:paraId="13461E6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11D9C62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本年支出427.56万元，其中：基本支出277.56万元，占64.92%；项目支出150.00万元，占35.08%；上缴上级支出0.00万元，占0.00%；经营支出0.00万元，占0.00%；对附属单位补助支出0.00万元，占0.00%。</w:t>
      </w:r>
    </w:p>
    <w:p w14:paraId="7D22734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24C4ADB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2025年度财政拨款收入总计427.04万元，其中：年初财政拨款结转和结余0.00万元，本年财政拨款收入427.04万元。财政拨款支出总计427.04万元，其中：年末财政拨款结转和结余0.00万元，本年财政拨款支出427.04万元。</w:t>
      </w:r>
    </w:p>
    <w:p w14:paraId="63FBF9D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155.31万元，下降26.67%，主要原因是：根据自然资源厅工作安排，2025年我单位不再开展矿产资源价款评估的评审工作，评审费用减少。与年初预算相比，年初预算数410.89万元，决算数427.04万元，预决算差异率3.93%，主要原因是：追加年度考核奖、民族团结一家亲结对认亲交通费、南疆工作补贴等，因此预决算产生差异。</w:t>
      </w:r>
    </w:p>
    <w:p w14:paraId="2519EDB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798FAC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按照党中央、国务院关于党政机关习惯过紧日子的有关要求，厉行节约办一切事业，严控一般性支出。同时坚持有保有压，优化支出结构，提高资金使用效率，合理保障单位日常运转、完成重点工作任务、推进事业发展需要等重点支出，体现在有关支出科目中。</w:t>
      </w:r>
    </w:p>
    <w:p w14:paraId="512DCDB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按照支出功能分类，自然资源海洋气象等支出（类）自然资源事务（款）事业运行（项）的支出占本年财政拨款支出总额的比重最高，2025年度决算数为156.88万元，占比为36.74%，主要用于职工工资</w:t>
      </w:r>
      <w:r>
        <w:rPr>
          <w:rFonts w:hint="eastAsia" w:ascii="仿宋_GB2312" w:eastAsia="仿宋_GB2312"/>
          <w:sz w:val="32"/>
          <w:szCs w:val="32"/>
          <w:lang w:val="en-US" w:eastAsia="zh-CN"/>
        </w:rPr>
        <w:t>福利、公用</w:t>
      </w:r>
      <w:r>
        <w:rPr>
          <w:rFonts w:ascii="仿宋_GB2312" w:eastAsia="仿宋_GB2312"/>
          <w:sz w:val="32"/>
          <w:szCs w:val="32"/>
          <w:lang w:eastAsia="zh-CN"/>
        </w:rPr>
        <w:t>经费等。</w:t>
      </w:r>
    </w:p>
    <w:p w14:paraId="6E8C0AC0">
      <w:pPr>
        <w:spacing w:after="0" w:line="240" w:lineRule="auto"/>
        <w:ind w:firstLine="640" w:firstLineChars="200"/>
        <w:jc w:val="both"/>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25975FF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一般公共预算财政拨款支出427.04万元，占本年支出合计的99.88%。与上年相比，减少155.31万元，下降26.67%，主要原因是：根据自然资源厅工作安排，2025年我单位不再开展矿产资源价款评估的评审工作，评审费用减少。与年初预算相比，年初预算数410.89万元，决算数427.04万元，预决算差异率3.93%，主要原因是：追加年度考核奖、民族团结一家亲结对认亲交通费、南疆工作补贴等，因此预决算产生差异。</w:t>
      </w:r>
    </w:p>
    <w:p w14:paraId="25808A83">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2A975BA1">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val="en-US" w:eastAsia="zh-CN"/>
        </w:rPr>
        <w:t>1.</w:t>
      </w:r>
      <w:r>
        <w:rPr>
          <w:rFonts w:ascii="仿宋_GB2312" w:eastAsia="仿宋_GB2312"/>
          <w:sz w:val="32"/>
          <w:szCs w:val="32"/>
          <w:lang w:eastAsia="zh-CN"/>
        </w:rPr>
        <w:t>社会保障和就业支出（类）74.34万元，占17.41%。</w:t>
      </w:r>
    </w:p>
    <w:p w14:paraId="0FBCE72A">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val="en-US" w:eastAsia="zh-CN"/>
        </w:rPr>
        <w:t>2.</w:t>
      </w:r>
      <w:r>
        <w:rPr>
          <w:rFonts w:ascii="仿宋_GB2312" w:eastAsia="仿宋_GB2312"/>
          <w:sz w:val="32"/>
          <w:szCs w:val="32"/>
          <w:lang w:eastAsia="zh-CN"/>
        </w:rPr>
        <w:t>卫生健康支出（类）26.57万元，占6.22%。</w:t>
      </w:r>
    </w:p>
    <w:p w14:paraId="4874C17B">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val="en-US" w:eastAsia="zh-CN"/>
        </w:rPr>
        <w:t>3.</w:t>
      </w:r>
      <w:r>
        <w:rPr>
          <w:rFonts w:ascii="仿宋_GB2312" w:eastAsia="仿宋_GB2312"/>
          <w:sz w:val="32"/>
          <w:szCs w:val="32"/>
          <w:lang w:eastAsia="zh-CN"/>
        </w:rPr>
        <w:t>自然资源海洋气象等支出（类）306.88万元，占71.86%。</w:t>
      </w:r>
    </w:p>
    <w:p w14:paraId="15829F13">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val="en-US" w:eastAsia="zh-CN"/>
        </w:rPr>
        <w:t>4.</w:t>
      </w:r>
      <w:r>
        <w:rPr>
          <w:rFonts w:ascii="仿宋_GB2312" w:eastAsia="仿宋_GB2312"/>
          <w:sz w:val="32"/>
          <w:szCs w:val="32"/>
          <w:lang w:eastAsia="zh-CN"/>
        </w:rPr>
        <w:t>住房保障支出（类）19.25万元，占4.51%。</w:t>
      </w:r>
    </w:p>
    <w:p w14:paraId="5644568B">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05152A9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w:t>
      </w:r>
      <w:r>
        <w:rPr>
          <w:rFonts w:hint="eastAsia" w:ascii="仿宋_GB2312" w:eastAsia="仿宋_GB2312"/>
          <w:sz w:val="32"/>
          <w:szCs w:val="32"/>
          <w:lang w:val="en-US" w:eastAsia="zh-CN"/>
        </w:rPr>
        <w:t>.</w:t>
      </w:r>
      <w:r>
        <w:rPr>
          <w:rFonts w:ascii="仿宋_GB2312" w:eastAsia="仿宋_GB2312"/>
          <w:sz w:val="32"/>
          <w:szCs w:val="32"/>
          <w:lang w:eastAsia="zh-CN"/>
        </w:rPr>
        <w:t>社会保障和就业支出（类）行政事业单位养老支出（款）事业单位离退休（项）：支出决算数为18.37万元，比上年决算增加1.91万元，增长11.60%，主要原因是：退休人员基础绩效奖增加，退休费相应增加。</w:t>
      </w:r>
    </w:p>
    <w:p w14:paraId="34A18471">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w:t>
      </w:r>
      <w:r>
        <w:rPr>
          <w:rFonts w:hint="eastAsia" w:ascii="仿宋_GB2312" w:eastAsia="仿宋_GB2312"/>
          <w:sz w:val="32"/>
          <w:szCs w:val="32"/>
          <w:lang w:val="en-US" w:eastAsia="zh-CN"/>
        </w:rPr>
        <w:t>.</w:t>
      </w:r>
      <w:r>
        <w:rPr>
          <w:rFonts w:ascii="仿宋_GB2312" w:eastAsia="仿宋_GB2312"/>
          <w:sz w:val="32"/>
          <w:szCs w:val="32"/>
          <w:lang w:eastAsia="zh-CN"/>
        </w:rPr>
        <w:t>社会保障和就业支出（类）行政事业单位养老支出（款）机关事业单位基本养老保险缴费支出（项）：支出决算数为25.66万元，比上年决算增加2.56万元，增长11.08%，主要原因是：职工岗位等级变动，工资增加，缴费基数</w:t>
      </w:r>
      <w:r>
        <w:rPr>
          <w:rFonts w:hint="eastAsia" w:ascii="仿宋_GB2312" w:eastAsia="仿宋_GB2312"/>
          <w:sz w:val="32"/>
          <w:szCs w:val="32"/>
          <w:lang w:eastAsia="zh-CN"/>
        </w:rPr>
        <w:t>增加，</w:t>
      </w:r>
      <w:r>
        <w:rPr>
          <w:rFonts w:ascii="仿宋_GB2312" w:eastAsia="仿宋_GB2312"/>
          <w:sz w:val="32"/>
          <w:szCs w:val="32"/>
          <w:lang w:eastAsia="zh-CN"/>
        </w:rPr>
        <w:t>基本养老保险缴费支出相应增加。</w:t>
      </w:r>
    </w:p>
    <w:p w14:paraId="7BF9552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w:t>
      </w:r>
      <w:r>
        <w:rPr>
          <w:rFonts w:hint="eastAsia" w:ascii="仿宋_GB2312" w:eastAsia="仿宋_GB2312"/>
          <w:sz w:val="32"/>
          <w:szCs w:val="32"/>
          <w:lang w:val="en-US" w:eastAsia="zh-CN"/>
        </w:rPr>
        <w:t>.</w:t>
      </w:r>
      <w:r>
        <w:rPr>
          <w:rFonts w:ascii="仿宋_GB2312" w:eastAsia="仿宋_GB2312"/>
          <w:sz w:val="32"/>
          <w:szCs w:val="32"/>
          <w:lang w:eastAsia="zh-CN"/>
        </w:rPr>
        <w:t>社会保障和就业支出（类）行政事业单位养老支出（款）机关事业单位职业年金缴费支出（项）：支出决算数为30.31万元，比上年决算增加30.31万元，增长100.00%，主要原因是：有两名2024年底退休人员在2025年度做实职业年金，另记实2025年职业年金单位缴费。</w:t>
      </w:r>
    </w:p>
    <w:p w14:paraId="11EC5EB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w:t>
      </w:r>
      <w:r>
        <w:rPr>
          <w:rFonts w:hint="eastAsia" w:ascii="仿宋_GB2312" w:eastAsia="仿宋_GB2312"/>
          <w:sz w:val="32"/>
          <w:szCs w:val="32"/>
          <w:lang w:val="en-US" w:eastAsia="zh-CN"/>
        </w:rPr>
        <w:t>.</w:t>
      </w:r>
      <w:r>
        <w:rPr>
          <w:rFonts w:ascii="仿宋_GB2312" w:eastAsia="仿宋_GB2312"/>
          <w:sz w:val="32"/>
          <w:szCs w:val="32"/>
          <w:lang w:eastAsia="zh-CN"/>
        </w:rPr>
        <w:t>卫生健康支出（类）行政事业单位医疗（款）事业单位医疗（项）：支出决算数为15.34万元，比上年决算增加3.36万元，增长28.05%，主要原因是：职工岗位等级变动，工资增加，缴费基数</w:t>
      </w:r>
      <w:r>
        <w:rPr>
          <w:rFonts w:hint="eastAsia" w:ascii="仿宋_GB2312" w:eastAsia="仿宋_GB2312"/>
          <w:sz w:val="32"/>
          <w:szCs w:val="32"/>
          <w:lang w:eastAsia="zh-CN"/>
        </w:rPr>
        <w:t>增加，</w:t>
      </w:r>
      <w:r>
        <w:rPr>
          <w:rFonts w:ascii="仿宋_GB2312" w:eastAsia="仿宋_GB2312"/>
          <w:sz w:val="32"/>
          <w:szCs w:val="32"/>
          <w:lang w:eastAsia="zh-CN"/>
        </w:rPr>
        <w:t>事业单位医疗费用相应增加。</w:t>
      </w:r>
    </w:p>
    <w:p w14:paraId="5FF47B6D">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w:t>
      </w:r>
      <w:r>
        <w:rPr>
          <w:rFonts w:hint="eastAsia" w:ascii="仿宋_GB2312" w:eastAsia="仿宋_GB2312"/>
          <w:sz w:val="32"/>
          <w:szCs w:val="32"/>
          <w:lang w:val="en-US" w:eastAsia="zh-CN"/>
        </w:rPr>
        <w:t>.</w:t>
      </w:r>
      <w:r>
        <w:rPr>
          <w:rFonts w:ascii="仿宋_GB2312" w:eastAsia="仿宋_GB2312"/>
          <w:sz w:val="32"/>
          <w:szCs w:val="32"/>
          <w:lang w:eastAsia="zh-CN"/>
        </w:rPr>
        <w:t>卫生健康支出（类）行政事业单位医疗（款）公务员医疗补助（项）：支出决算数为11.23万元，比上年决算增加1.12万元，增长11.08%，主要原因是：职工岗位等级变动，工资增加，缴费基数</w:t>
      </w:r>
      <w:r>
        <w:rPr>
          <w:rFonts w:hint="eastAsia" w:ascii="仿宋_GB2312" w:eastAsia="仿宋_GB2312"/>
          <w:sz w:val="32"/>
          <w:szCs w:val="32"/>
          <w:lang w:eastAsia="zh-CN"/>
        </w:rPr>
        <w:t>增加，</w:t>
      </w:r>
      <w:r>
        <w:rPr>
          <w:rFonts w:ascii="仿宋_GB2312" w:eastAsia="仿宋_GB2312"/>
          <w:sz w:val="32"/>
          <w:szCs w:val="32"/>
          <w:lang w:eastAsia="zh-CN"/>
        </w:rPr>
        <w:t>公务员医疗补助费用相应增加。</w:t>
      </w:r>
    </w:p>
    <w:p w14:paraId="4B34454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w:t>
      </w:r>
      <w:r>
        <w:rPr>
          <w:rFonts w:hint="eastAsia" w:ascii="仿宋_GB2312" w:eastAsia="仿宋_GB2312"/>
          <w:sz w:val="32"/>
          <w:szCs w:val="32"/>
          <w:lang w:val="en-US" w:eastAsia="zh-CN"/>
        </w:rPr>
        <w:t>.</w:t>
      </w:r>
      <w:r>
        <w:rPr>
          <w:rFonts w:ascii="仿宋_GB2312" w:eastAsia="仿宋_GB2312"/>
          <w:sz w:val="32"/>
          <w:szCs w:val="32"/>
          <w:lang w:eastAsia="zh-CN"/>
        </w:rPr>
        <w:t>自然资源海洋气象等支出（类）自然资源事务（款）自然资源规划及管理（项）：支出决算数为150.00万元，比上年决算减少170.00万元，下降53.12%，主要原因是：根据自然资源厅工作安排，2025年我单位不再开展矿产资源价款评估的评审工作，评审费用减少。</w:t>
      </w:r>
    </w:p>
    <w:p w14:paraId="0DF2C88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w:t>
      </w:r>
      <w:r>
        <w:rPr>
          <w:rFonts w:hint="eastAsia" w:ascii="仿宋_GB2312" w:eastAsia="仿宋_GB2312"/>
          <w:sz w:val="32"/>
          <w:szCs w:val="32"/>
          <w:lang w:val="en-US" w:eastAsia="zh-CN"/>
        </w:rPr>
        <w:t>.</w:t>
      </w:r>
      <w:r>
        <w:rPr>
          <w:rFonts w:ascii="仿宋_GB2312" w:eastAsia="仿宋_GB2312"/>
          <w:sz w:val="32"/>
          <w:szCs w:val="32"/>
          <w:lang w:eastAsia="zh-CN"/>
        </w:rPr>
        <w:t>自然资源海洋气象等支出（类）自然资源事务（款）事业运行（项）：支出决算数为156.88万元，比上年决算减少26.50万元，下降14.45%，主要原因是：有一名在职人员退休，</w:t>
      </w:r>
      <w:r>
        <w:rPr>
          <w:rFonts w:hint="eastAsia" w:ascii="仿宋_GB2312" w:eastAsia="仿宋_GB2312"/>
          <w:sz w:val="32"/>
          <w:szCs w:val="32"/>
          <w:lang w:eastAsia="zh-CN"/>
        </w:rPr>
        <w:t>人员经费</w:t>
      </w:r>
      <w:r>
        <w:rPr>
          <w:rFonts w:ascii="仿宋_GB2312" w:eastAsia="仿宋_GB2312"/>
          <w:sz w:val="32"/>
          <w:szCs w:val="32"/>
          <w:lang w:eastAsia="zh-CN"/>
        </w:rPr>
        <w:t>相应减少。</w:t>
      </w:r>
    </w:p>
    <w:p w14:paraId="3DE0A0F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8</w:t>
      </w:r>
      <w:r>
        <w:rPr>
          <w:rFonts w:hint="eastAsia" w:ascii="仿宋_GB2312" w:eastAsia="仿宋_GB2312"/>
          <w:sz w:val="32"/>
          <w:szCs w:val="32"/>
          <w:lang w:val="en-US" w:eastAsia="zh-CN"/>
        </w:rPr>
        <w:t>.</w:t>
      </w:r>
      <w:r>
        <w:rPr>
          <w:rFonts w:ascii="仿宋_GB2312" w:eastAsia="仿宋_GB2312"/>
          <w:sz w:val="32"/>
          <w:szCs w:val="32"/>
          <w:lang w:eastAsia="zh-CN"/>
        </w:rPr>
        <w:t>住房保障支出（类）住房改革支出（款）住房公积金（项）：支出决算数为19.25万元，比上年决算增加1.92万元，增长11.08%，主要原因是：职工岗位等级变动，工资增加，缴费基数</w:t>
      </w:r>
      <w:r>
        <w:rPr>
          <w:rFonts w:hint="eastAsia" w:ascii="仿宋_GB2312" w:eastAsia="仿宋_GB2312"/>
          <w:sz w:val="32"/>
          <w:szCs w:val="32"/>
          <w:lang w:eastAsia="zh-CN"/>
        </w:rPr>
        <w:t>增加，</w:t>
      </w:r>
      <w:r>
        <w:rPr>
          <w:rFonts w:ascii="仿宋_GB2312" w:eastAsia="仿宋_GB2312"/>
          <w:sz w:val="32"/>
          <w:szCs w:val="32"/>
          <w:lang w:eastAsia="zh-CN"/>
        </w:rPr>
        <w:t>住房公积金费用相应增加。</w:t>
      </w:r>
    </w:p>
    <w:p w14:paraId="3967CB8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45C64F0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一般公共预算财政拨款基本支出277.04万元，其中：人员经费261.52万元，包括：基本工资、津贴补贴、奖金、绩效工资、机关事业单位基本养老保险缴费、职业年金缴费、职工基本医疗保险缴费、公务员医疗补助缴费、其他社会保障缴费、住房公积金、退休费、生活补助、奖励金和其他对个人和家庭的补助。</w:t>
      </w:r>
    </w:p>
    <w:p w14:paraId="628DBF8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公用经费15.52万元，包括：办公费、水费、电费、邮电费、物业管理费、差旅费、工会经费、福利费和其他商品和服务支出。</w:t>
      </w:r>
    </w:p>
    <w:p w14:paraId="0DBB311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4B404FA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1CFB9ED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2D98D22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EB1A56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2A0789C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2025年度财政拨款“三公”经费支出0.00万元，比上年增加0.00万元，增长0.00%，主要原因是：</w:t>
      </w:r>
      <w:r>
        <w:rPr>
          <w:rFonts w:hint="eastAsia" w:ascii="仿宋_GB2312" w:eastAsia="仿宋_GB2312"/>
          <w:sz w:val="32"/>
          <w:szCs w:val="32"/>
          <w:lang w:val="en-US" w:eastAsia="zh-CN"/>
        </w:rPr>
        <w:t>2024年与2025年</w:t>
      </w:r>
      <w:r>
        <w:rPr>
          <w:rFonts w:ascii="仿宋_GB2312" w:eastAsia="仿宋_GB2312"/>
          <w:sz w:val="32"/>
          <w:szCs w:val="32"/>
          <w:lang w:eastAsia="zh-CN"/>
        </w:rPr>
        <w:t>我单位</w:t>
      </w:r>
      <w:r>
        <w:rPr>
          <w:rFonts w:hint="eastAsia" w:ascii="仿宋_GB2312" w:eastAsia="仿宋_GB2312"/>
          <w:sz w:val="32"/>
          <w:szCs w:val="32"/>
          <w:lang w:eastAsia="zh-CN"/>
        </w:rPr>
        <w:t>均</w:t>
      </w:r>
      <w:r>
        <w:rPr>
          <w:rFonts w:ascii="仿宋_GB2312" w:eastAsia="仿宋_GB2312"/>
          <w:sz w:val="32"/>
          <w:szCs w:val="32"/>
          <w:lang w:eastAsia="zh-CN"/>
        </w:rPr>
        <w:t>无财政拨款“三公”经费支出。其中：因公出国（境）费用支出0.00万元,占0.00%，比上年增加0.00万元，增长0.00%，主要原因是：</w:t>
      </w:r>
      <w:r>
        <w:rPr>
          <w:rFonts w:hint="eastAsia" w:ascii="仿宋_GB2312" w:eastAsia="仿宋_GB2312"/>
          <w:sz w:val="32"/>
          <w:szCs w:val="32"/>
          <w:lang w:val="en-US" w:eastAsia="zh-CN"/>
        </w:rPr>
        <w:t>2024年与2025年</w:t>
      </w:r>
      <w:r>
        <w:rPr>
          <w:rFonts w:ascii="仿宋_GB2312" w:eastAsia="仿宋_GB2312"/>
          <w:sz w:val="32"/>
          <w:szCs w:val="32"/>
          <w:lang w:eastAsia="zh-CN"/>
        </w:rPr>
        <w:t>我单位</w:t>
      </w:r>
      <w:r>
        <w:rPr>
          <w:rFonts w:hint="eastAsia" w:ascii="仿宋_GB2312" w:eastAsia="仿宋_GB2312"/>
          <w:sz w:val="32"/>
          <w:szCs w:val="32"/>
          <w:lang w:eastAsia="zh-CN"/>
        </w:rPr>
        <w:t>均</w:t>
      </w:r>
      <w:r>
        <w:rPr>
          <w:rFonts w:ascii="仿宋_GB2312" w:eastAsia="仿宋_GB2312"/>
          <w:sz w:val="32"/>
          <w:szCs w:val="32"/>
          <w:lang w:eastAsia="zh-CN"/>
        </w:rPr>
        <w:t>无因公出国（境）费；公务用车购置及运行维护费支出0.00万元，占0.00%，比上年增加0.00万元，增长0.00%，主要原因是：</w:t>
      </w:r>
      <w:r>
        <w:rPr>
          <w:rFonts w:hint="eastAsia" w:ascii="仿宋_GB2312" w:eastAsia="仿宋_GB2312"/>
          <w:sz w:val="32"/>
          <w:szCs w:val="32"/>
          <w:lang w:val="en-US" w:eastAsia="zh-CN"/>
        </w:rPr>
        <w:t>2024年与2025年</w:t>
      </w:r>
      <w:r>
        <w:rPr>
          <w:rFonts w:ascii="仿宋_GB2312" w:eastAsia="仿宋_GB2312"/>
          <w:sz w:val="32"/>
          <w:szCs w:val="32"/>
          <w:lang w:eastAsia="zh-CN"/>
        </w:rPr>
        <w:t>我单位</w:t>
      </w:r>
      <w:r>
        <w:rPr>
          <w:rFonts w:hint="eastAsia" w:ascii="仿宋_GB2312" w:eastAsia="仿宋_GB2312"/>
          <w:sz w:val="32"/>
          <w:szCs w:val="32"/>
          <w:lang w:eastAsia="zh-CN"/>
        </w:rPr>
        <w:t>均</w:t>
      </w:r>
      <w:r>
        <w:rPr>
          <w:rFonts w:ascii="仿宋_GB2312" w:eastAsia="仿宋_GB2312"/>
          <w:sz w:val="32"/>
          <w:szCs w:val="32"/>
          <w:lang w:eastAsia="zh-CN"/>
        </w:rPr>
        <w:t>无公务用车购置及运行维护费；公务接待费支出0.00万元，占0.00%，比上年增加0.00万元，增长0.00%，主要原因是：</w:t>
      </w:r>
      <w:r>
        <w:rPr>
          <w:rFonts w:hint="eastAsia" w:ascii="仿宋_GB2312" w:eastAsia="仿宋_GB2312"/>
          <w:sz w:val="32"/>
          <w:szCs w:val="32"/>
          <w:lang w:val="en-US" w:eastAsia="zh-CN"/>
        </w:rPr>
        <w:t>2024年与2025年</w:t>
      </w:r>
      <w:r>
        <w:rPr>
          <w:rFonts w:ascii="仿宋_GB2312" w:eastAsia="仿宋_GB2312"/>
          <w:sz w:val="32"/>
          <w:szCs w:val="32"/>
          <w:lang w:eastAsia="zh-CN"/>
        </w:rPr>
        <w:t>我单位</w:t>
      </w:r>
      <w:r>
        <w:rPr>
          <w:rFonts w:hint="eastAsia" w:ascii="仿宋_GB2312" w:eastAsia="仿宋_GB2312"/>
          <w:sz w:val="32"/>
          <w:szCs w:val="32"/>
          <w:lang w:eastAsia="zh-CN"/>
        </w:rPr>
        <w:t>均</w:t>
      </w:r>
      <w:r>
        <w:rPr>
          <w:rFonts w:ascii="仿宋_GB2312" w:eastAsia="仿宋_GB2312"/>
          <w:sz w:val="32"/>
          <w:szCs w:val="32"/>
          <w:lang w:eastAsia="zh-CN"/>
        </w:rPr>
        <w:t>无公务接待费。</w:t>
      </w:r>
    </w:p>
    <w:p w14:paraId="60732D1E">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5E3C926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因公出国（境）费用0.00万元，开支内容包括我单位无因公出国（境）费。单位全年安排的因公出国（境）团组0个，因公出国（境）0人次。</w:t>
      </w:r>
    </w:p>
    <w:p w14:paraId="6016D25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我单位无公务用车运行维护费。公务用车购置数0辆，公务用车保有量0辆。国有资产占用情况中固定资产车辆1辆，与公务用车保有量差异原因是：该车辆为其他车辆，并且该车辆一直在莎车县访惠聚工作队使用，涉及该车辆的所有运行及维护等费用均由该访惠聚工作队承担，我单位不承担该车辆的任何费用，故未使用财政拨款开支公务用车运行维护费车辆的经费保障。</w:t>
      </w:r>
    </w:p>
    <w:p w14:paraId="5B97D4D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公务接待费0.00万元，开支内容包括我单位无公务接待费。单位全年安排的国内公务接待0批次，0人次。</w:t>
      </w:r>
    </w:p>
    <w:p w14:paraId="47EDBD1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我单位无财政拨款“三公”经费支出。其中：因公出国（境）费用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0.00万元，决算数0.00万元，预决算差异率0.00%，主要原因是：我单位无公务用车运行维护费；公务接待费全年预算数0.00万元，决算数0.00万元，预决算差异率0.00%，主要原因是：我单位无公务接待费。</w:t>
      </w:r>
    </w:p>
    <w:p w14:paraId="0457042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26C76B0B">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1C00EBE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2025年度新疆维吾尔自治区自然资源改革发展研究中心（事业单位）公用经费支出15.52万元，比上年增加0.84万元，增长5.72%，主要原因是：因办公室面积增加，水电费及物业管理费等公用经费相应增加。</w:t>
      </w:r>
    </w:p>
    <w:p w14:paraId="10D60A24">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14:paraId="37C716C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2025年度政府采购支出总额95.03万元，其中：政府采购货物支出0.84万元、政府采购工程支出0.00万元、政府采购服务支出94.19万元。</w:t>
      </w:r>
    </w:p>
    <w:p w14:paraId="759082C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授予中小企业合同金额77.08万元，占政府采购支出总额的81.11%，其中：授予小微企业合同金额77.08万元，占政府采购支出总额的81.11%。</w:t>
      </w:r>
    </w:p>
    <w:p w14:paraId="5D74844E">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14:paraId="048AFD6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截至2025年12月31日，房屋0.00平方米，价值0.00万元。</w:t>
      </w:r>
      <w:r>
        <w:rPr>
          <w:rFonts w:ascii="仿宋_GB2312" w:eastAsia="仿宋_GB2312"/>
          <w:sz w:val="32"/>
          <w:szCs w:val="32"/>
          <w:lang w:eastAsia="zh-CN"/>
        </w:rPr>
        <w:t>车辆1辆，价值19.10万元，其中：副部（省）级及以上领导用车0辆、主要负责人用车0辆、机要通信用车0辆、应急保障用车0辆、执法执勤用车0辆、特种专业技术用车0辆、离退休干部服务用车0辆、其他用车1辆，其他用车主要是：单位运行保障</w:t>
      </w:r>
      <w:r>
        <w:rPr>
          <w:rFonts w:hint="eastAsia" w:ascii="仿宋_GB2312" w:eastAsia="仿宋_GB2312"/>
          <w:sz w:val="32"/>
          <w:szCs w:val="32"/>
          <w:lang w:eastAsia="zh-CN"/>
        </w:rPr>
        <w:t>业务</w:t>
      </w:r>
      <w:r>
        <w:rPr>
          <w:rFonts w:ascii="仿宋_GB2312" w:eastAsia="仿宋_GB2312"/>
          <w:sz w:val="32"/>
          <w:szCs w:val="32"/>
          <w:lang w:eastAsia="zh-CN"/>
        </w:rPr>
        <w:t>用车;单价100万元（含）以上设备（不含车辆）0台（套）。</w:t>
      </w:r>
    </w:p>
    <w:p w14:paraId="42FF053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75E60AD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2025年度预算绩评价项目1个，全年预算数150.00万元，全年执行数150.00万元。预算绩效管理取得的成效：1.领导重视，统一协调。重大决策的审定；负责课题项目配套经费的落实；统筹课题研究全过程管理、研究成果审核，牵头对内工作组织与跨部门协同对接；在领导小组的统一统筹协调下，高效推进项目实施进度，使课题组按期圆满完成项目。2.落实责任，明确分工。由中心组织，联合科研院校专家学者组成的课题组等组织机构，明确工作职责。充分做好组织协调工作，确保研究工作的顺利完成。3.强化技术支持、广泛征询意见。加强对参与项目研究人员的技术培训，领导小组组织技术指导组，及时对项目报告进行咨询、论证，广泛征求各部门的意见，确保成果既符合国家法律法规规定的技术要求，又符合自治区的实际。采用多种形式广泛征询了各方面的意见，根据多次反馈的咨询意见，课题组再进一步核查调查数据和处理数据，完善自治区自然资源年报及综合评价分析研究、自治区“十四五”自然资源规划监测与评估，使成果更符合实际、在指导项目顺利实施中起到更大的作用。发现的问题及原因：统计数据滞后，调研积极性不高，部分数据主要指标以年度变更数据为准，为此，获取指标数据具有一定的难度，需不断更新数据。另外，部分数据资料在地州开展调研中积极性不高，后期需补充工作进展。下一步改进措施：一是调整《规划》监测评估上交时点，做到与总结数据同步，使评估数据更加准确可靠。二是分解下达《规划》主要指标到地州，明确地州实施责任，建立地州《规划》实施监督机制，制定考核办法，构建统一的指标体系，指标构成、权重和考核办法相对稳定，增强各地州的可比性与各年度的可比性。具体附整体支出绩效自评表</w:t>
      </w:r>
      <w:r>
        <w:rPr>
          <w:rFonts w:hint="eastAsia" w:ascii="仿宋_GB2312" w:hAnsi="仿宋_GB2312" w:eastAsia="仿宋_GB2312" w:cs="仿宋_GB2312"/>
          <w:b w:val="0"/>
          <w:bCs w:val="0"/>
          <w:color w:val="000000"/>
          <w:kern w:val="0"/>
          <w:sz w:val="32"/>
          <w:szCs w:val="32"/>
          <w:highlight w:val="none"/>
          <w:lang w:val="en-US" w:eastAsia="zh-CN" w:bidi="ar"/>
        </w:rPr>
        <w:t>及项目支出绩效评价报告</w:t>
      </w:r>
      <w:r>
        <w:rPr>
          <w:rFonts w:ascii="仿宋_GB2312" w:eastAsia="仿宋_GB2312"/>
          <w:sz w:val="32"/>
          <w:szCs w:val="32"/>
          <w:lang w:eastAsia="zh-CN"/>
        </w:rPr>
        <w:t>。</w:t>
      </w:r>
      <w:bookmarkStart w:id="0" w:name="_GoBack"/>
      <w:bookmarkEnd w:id="0"/>
    </w:p>
    <w:p w14:paraId="5FF7D55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3DF5263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本单位无其他需说明的事项。</w:t>
      </w:r>
    </w:p>
    <w:p w14:paraId="6E2D569D">
      <w:pPr>
        <w:spacing w:after="0" w:line="240" w:lineRule="auto"/>
        <w:ind w:firstLine="640" w:firstLineChars="200"/>
        <w:rPr>
          <w:rFonts w:ascii="仿宋_GB2312" w:eastAsia="仿宋_GB2312"/>
          <w:sz w:val="32"/>
          <w:szCs w:val="32"/>
          <w:lang w:eastAsia="zh-CN"/>
        </w:rPr>
      </w:pPr>
    </w:p>
    <w:p w14:paraId="62325A24">
      <w:pPr>
        <w:rPr>
          <w:lang w:eastAsia="zh-CN"/>
        </w:rPr>
      </w:pPr>
      <w:r>
        <w:rPr>
          <w:sz w:val="0"/>
          <w:szCs w:val="0"/>
          <w:lang w:eastAsia="zh-CN"/>
        </w:rPr>
        <w:br w:type="page"/>
      </w:r>
    </w:p>
    <w:p w14:paraId="4C219628">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36CA1AC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指单位本年度从同级财政部门取得的财政拨款，包括一般公共预算财政拨款、政府性基金预算财政拨款和国有资本经营预算财政拨款。</w:t>
      </w:r>
    </w:p>
    <w:p w14:paraId="558376E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EEAD60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指事业单位开展专业业务活动及其辅助活动取得的收入。</w:t>
      </w:r>
    </w:p>
    <w:p w14:paraId="278C2A9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ED03F7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指事业单位附属独立核算单位按照有关规定上缴的收入。</w:t>
      </w:r>
    </w:p>
    <w:p w14:paraId="190A37A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指单位取得的除上述“财政拨款收入”“上级补助收入”“事业收入”“经营收入”“附属单位上缴收入”以外的各项收入。</w:t>
      </w:r>
    </w:p>
    <w:p w14:paraId="2159912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指单位上年结转本年使用的基本支出结转、项目支出结转和结余、经营结余。</w:t>
      </w:r>
    </w:p>
    <w:p w14:paraId="57DE187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八、使用非财政拨款结余（含专用结余）：</w:t>
      </w:r>
      <w:r>
        <w:rPr>
          <w:rFonts w:ascii="仿宋_GB2312" w:eastAsia="仿宋_GB2312"/>
          <w:sz w:val="32"/>
          <w:szCs w:val="32"/>
          <w:lang w:eastAsia="zh-CN"/>
        </w:rPr>
        <w:t>指单位按照预算管理要求使用非财政拨款结余弥补收支差额的金额，以及使用专用结余安排支出的金额。</w:t>
      </w:r>
    </w:p>
    <w:p w14:paraId="3890D09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九、结余分配</w:t>
      </w:r>
      <w:r>
        <w:rPr>
          <w:rFonts w:ascii="仿宋_GB2312" w:eastAsia="仿宋_GB2312"/>
          <w:sz w:val="32"/>
          <w:szCs w:val="32"/>
          <w:lang w:eastAsia="zh-CN"/>
        </w:rPr>
        <w:t>：指单位缴纳企业所得税以及从非财政拨款结余或经营结余中提取各类结余的情况。</w:t>
      </w:r>
    </w:p>
    <w:p w14:paraId="21BC768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十、年末结转和结余</w:t>
      </w:r>
      <w:r>
        <w:rPr>
          <w:rFonts w:ascii="仿宋_GB2312" w:eastAsia="仿宋_GB2312"/>
          <w:sz w:val="32"/>
          <w:szCs w:val="32"/>
          <w:lang w:eastAsia="zh-CN"/>
        </w:rPr>
        <w:t>：指单位结转下年的基本支出结转、项目支出结转和结余、经营结余。</w:t>
      </w:r>
    </w:p>
    <w:p w14:paraId="04C4F99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十一、基本支出</w:t>
      </w:r>
      <w:r>
        <w:rPr>
          <w:rFonts w:ascii="仿宋_GB2312" w:eastAsia="仿宋_GB2312"/>
          <w:sz w:val="32"/>
          <w:szCs w:val="32"/>
          <w:lang w:eastAsia="zh-CN"/>
        </w:rPr>
        <w:t>：指单位为保障机构正常运转、完成日常工作任务而发生的各项支出。</w:t>
      </w:r>
    </w:p>
    <w:p w14:paraId="5D25748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十二、项目支出：</w:t>
      </w:r>
      <w:r>
        <w:rPr>
          <w:rFonts w:ascii="仿宋_GB2312" w:eastAsia="仿宋_GB2312"/>
          <w:sz w:val="32"/>
          <w:szCs w:val="32"/>
          <w:lang w:eastAsia="zh-CN"/>
        </w:rPr>
        <w:t>指单位为完成特定的行政工作任务或事业发展目标，在基本支出之外发生的各项支出。</w:t>
      </w:r>
    </w:p>
    <w:p w14:paraId="172F320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十三、上缴上级支出：</w:t>
      </w:r>
      <w:r>
        <w:rPr>
          <w:rFonts w:ascii="仿宋_GB2312" w:eastAsia="仿宋_GB2312"/>
          <w:sz w:val="32"/>
          <w:szCs w:val="32"/>
          <w:lang w:eastAsia="zh-CN"/>
        </w:rPr>
        <w:t>指事业单位按照财政部门和主管部门的规定上缴上级单位的支出。</w:t>
      </w:r>
    </w:p>
    <w:p w14:paraId="26FCB7D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十四、经营支出：</w:t>
      </w:r>
      <w:r>
        <w:rPr>
          <w:rFonts w:ascii="仿宋_GB2312" w:eastAsia="仿宋_GB2312"/>
          <w:sz w:val="32"/>
          <w:szCs w:val="32"/>
          <w:lang w:eastAsia="zh-CN"/>
        </w:rPr>
        <w:t>指事业单位在专业活动及辅助活动之外开展非独立核算经营活动发生的支出。</w:t>
      </w:r>
    </w:p>
    <w:p w14:paraId="17DA9456">
      <w:pPr>
        <w:spacing w:after="0" w:line="240" w:lineRule="auto"/>
        <w:ind w:firstLine="643" w:firstLineChars="200"/>
        <w:rPr>
          <w:rFonts w:ascii="宋体" w:eastAsia="仿宋_GB2312"/>
          <w:sz w:val="32"/>
          <w:szCs w:val="32"/>
          <w:lang w:eastAsia="zh-CN"/>
        </w:rPr>
      </w:pPr>
      <w:r>
        <w:rPr>
          <w:rFonts w:ascii="宋体" w:eastAsia="仿宋_GB2312"/>
          <w:b/>
          <w:sz w:val="32"/>
          <w:szCs w:val="32"/>
          <w:lang w:eastAsia="zh-CN"/>
        </w:rPr>
        <w:t>十五、对附属单位补助支出：</w:t>
      </w:r>
      <w:r>
        <w:rPr>
          <w:rFonts w:ascii="宋体" w:eastAsia="仿宋_GB2312"/>
          <w:sz w:val="32"/>
          <w:szCs w:val="32"/>
          <w:lang w:eastAsia="zh-CN"/>
        </w:rPr>
        <w:t>指事业单位用财政补助收入之外的收入对附属单位补助发生的支出。</w:t>
      </w:r>
    </w:p>
    <w:p w14:paraId="12E96E8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十六、“三公”经费：</w:t>
      </w:r>
      <w:r>
        <w:rPr>
          <w:rFonts w:ascii="仿宋_GB2312" w:eastAsia="仿宋_GB2312"/>
          <w:sz w:val="32"/>
          <w:szCs w:val="32"/>
          <w:lang w:eastAsia="zh-CN"/>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5055DB7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十七、机关运行经费：</w:t>
      </w:r>
      <w:r>
        <w:rPr>
          <w:rFonts w:ascii="仿宋_GB2312" w:eastAsia="仿宋_GB2312"/>
          <w:sz w:val="32"/>
          <w:szCs w:val="32"/>
          <w:lang w:eastAsia="zh-CN"/>
        </w:rPr>
        <w:t>指行政单位和参照公务员法管理的事业单位财政拨款基本支出中的公用经费支出。</w:t>
      </w:r>
    </w:p>
    <w:p w14:paraId="0F63A822">
      <w:pPr>
        <w:rPr>
          <w:lang w:eastAsia="zh-CN"/>
        </w:rPr>
      </w:pPr>
      <w:r>
        <w:rPr>
          <w:sz w:val="0"/>
          <w:szCs w:val="0"/>
          <w:lang w:eastAsia="zh-CN"/>
        </w:rPr>
        <w:br w:type="page"/>
      </w:r>
    </w:p>
    <w:p w14:paraId="6FDD970A">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235C510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6E00848A">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286F3AD9">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6E37C5C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C0B3DA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8A15CC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A1F128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4126481">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3DA7B34">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99BF790-05D2-4A37-B7AD-0CE37FB3BF5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B4494F04-26EE-455E-8143-7880DD644F5B}"/>
  </w:font>
  <w:font w:name="楷体_GB2312">
    <w:panose1 w:val="02010609030101010101"/>
    <w:charset w:val="86"/>
    <w:family w:val="auto"/>
    <w:pitch w:val="default"/>
    <w:sig w:usb0="00000001" w:usb1="080E0000" w:usb2="00000000" w:usb3="00000000" w:csb0="00040000" w:csb1="00000000"/>
  </w:font>
  <w:font w:name="FangSong_GB2312">
    <w:altName w:val="仿宋_GB2312"/>
    <w:panose1 w:val="020B0604020202020204"/>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script"/>
    <w:pitch w:val="default"/>
    <w:sig w:usb0="A00002BF" w:usb1="38CF7CFA" w:usb2="00082016" w:usb3="00000000" w:csb0="00040001" w:csb1="00000000"/>
    <w:embedRegular r:id="rId3" w:fontKey="{77AD6AFF-7793-4FB4-9B44-751BAF2DCF19}"/>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docVars>
    <w:docVar w:name="commondata" w:val="eyJoZGlkIjoiNWZhZWVmYWFlYTI3ODJlOGYyMDE4MDM5NjA4ZmIxOWYifQ=="/>
  </w:docVars>
  <w:rsids>
    <w:rsidRoot w:val="00817F45"/>
    <w:rsid w:val="001C3BE0"/>
    <w:rsid w:val="00817F45"/>
    <w:rsid w:val="00F130E3"/>
    <w:rsid w:val="04F4026C"/>
    <w:rsid w:val="0A65765E"/>
    <w:rsid w:val="1DD12460"/>
    <w:rsid w:val="269978EC"/>
    <w:rsid w:val="26E74A51"/>
    <w:rsid w:val="27140AE9"/>
    <w:rsid w:val="2C07134C"/>
    <w:rsid w:val="2D843E0C"/>
    <w:rsid w:val="65A742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autoRedefine/>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autoRedefine/>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autoRedefine/>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autoRedefine/>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unhideWhenUsed/>
    <w:qFormat/>
    <w:uiPriority w:val="99"/>
    <w:pPr>
      <w:ind w:left="720"/>
    </w:pPr>
  </w:style>
  <w:style w:type="paragraph" w:styleId="7">
    <w:name w:val="caption"/>
    <w:basedOn w:val="1"/>
    <w:next w:val="1"/>
    <w:autoRedefine/>
    <w:semiHidden/>
    <w:unhideWhenUsed/>
    <w:qFormat/>
    <w:uiPriority w:val="35"/>
    <w:pPr>
      <w:spacing w:line="240" w:lineRule="auto"/>
    </w:pPr>
    <w:rPr>
      <w:b/>
      <w:bCs/>
      <w:color w:val="4F81BD"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autoRedefine/>
    <w:unhideWhenUsed/>
    <w:qFormat/>
    <w:uiPriority w:val="99"/>
    <w:pPr>
      <w:tabs>
        <w:tab w:val="center" w:pos="4680"/>
        <w:tab w:val="right" w:pos="9360"/>
      </w:tabs>
    </w:pPr>
  </w:style>
  <w:style w:type="paragraph" w:styleId="10">
    <w:name w:val="Subtitle"/>
    <w:basedOn w:val="1"/>
    <w:next w:val="1"/>
    <w:link w:val="22"/>
    <w:autoRedefine/>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autoRedefine/>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autoRedefine/>
    <w:qFormat/>
    <w:uiPriority w:val="20"/>
    <w:rPr>
      <w:i/>
      <w:iCs/>
    </w:rPr>
  </w:style>
  <w:style w:type="character" w:styleId="16">
    <w:name w:val="Hyperlink"/>
    <w:basedOn w:val="14"/>
    <w:autoRedefine/>
    <w:unhideWhenUsed/>
    <w:qFormat/>
    <w:uiPriority w:val="99"/>
    <w:rPr>
      <w:color w:val="0000FF" w:themeColor="hyperlink"/>
      <w:u w:val="single"/>
    </w:rPr>
  </w:style>
  <w:style w:type="character" w:customStyle="1" w:styleId="17">
    <w:name w:val="页眉 Char"/>
    <w:basedOn w:val="14"/>
    <w:link w:val="9"/>
    <w:autoRedefine/>
    <w:qFormat/>
    <w:uiPriority w:val="99"/>
  </w:style>
  <w:style w:type="character" w:customStyle="1" w:styleId="18">
    <w:name w:val="标题 1 Char"/>
    <w:basedOn w:val="14"/>
    <w:link w:val="2"/>
    <w:autoRedefine/>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Char"/>
    <w:basedOn w:val="14"/>
    <w:link w:val="3"/>
    <w:autoRedefine/>
    <w:qFormat/>
    <w:uiPriority w:val="9"/>
    <w:rPr>
      <w:rFonts w:asciiTheme="majorHAnsi" w:hAnsiTheme="majorHAnsi" w:eastAsiaTheme="majorEastAsia" w:cstheme="majorBidi"/>
      <w:b/>
      <w:bCs/>
      <w:color w:val="4F81BD" w:themeColor="accent1"/>
      <w:sz w:val="26"/>
      <w:szCs w:val="26"/>
    </w:rPr>
  </w:style>
  <w:style w:type="character" w:customStyle="1" w:styleId="20">
    <w:name w:val="标题 3 Char"/>
    <w:basedOn w:val="14"/>
    <w:link w:val="4"/>
    <w:autoRedefine/>
    <w:qFormat/>
    <w:uiPriority w:val="9"/>
    <w:rPr>
      <w:rFonts w:asciiTheme="majorHAnsi" w:hAnsiTheme="majorHAnsi" w:eastAsiaTheme="majorEastAsia" w:cstheme="majorBidi"/>
      <w:b/>
      <w:bCs/>
      <w:color w:val="4F81BD" w:themeColor="accent1"/>
    </w:rPr>
  </w:style>
  <w:style w:type="character" w:customStyle="1" w:styleId="21">
    <w:name w:val="标题 4 Char"/>
    <w:basedOn w:val="14"/>
    <w:link w:val="5"/>
    <w:uiPriority w:val="9"/>
    <w:rPr>
      <w:rFonts w:asciiTheme="majorHAnsi" w:hAnsiTheme="majorHAnsi" w:eastAsiaTheme="majorEastAsia" w:cstheme="majorBidi"/>
      <w:b/>
      <w:bCs/>
      <w:i/>
      <w:iCs/>
      <w:color w:val="4F81BD" w:themeColor="accent1"/>
    </w:rPr>
  </w:style>
  <w:style w:type="character" w:customStyle="1" w:styleId="22">
    <w:name w:val="副标题 Char"/>
    <w:basedOn w:val="14"/>
    <w:link w:val="10"/>
    <w:autoRedefine/>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Char"/>
    <w:basedOn w:val="14"/>
    <w:link w:val="11"/>
    <w:autoRedefine/>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Char"/>
    <w:basedOn w:val="14"/>
    <w:link w:val="8"/>
    <w:qFormat/>
    <w:uiPriority w:val="99"/>
    <w:rPr>
      <w:rFonts w:eastAsiaTheme="minorHAnsi"/>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14</Pages>
  <Words>6426</Words>
  <Characters>7097</Characters>
  <Lines>51</Lines>
  <Paragraphs>14</Paragraphs>
  <TotalTime>7</TotalTime>
  <ScaleCrop>false</ScaleCrop>
  <LinksUpToDate>false</LinksUpToDate>
  <CharactersWithSpaces>7105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2026-08-12T04:15:00Z</dcterms:created>
  <dc:creator>Administrator</dc:creator>
  <cp:lastModifiedBy>蹁跹</cp:lastModifiedBy>
  <dcterms:modified xsi:type="dcterms:W3CDTF">2026-08-21T10:03:53Z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16D70D93817F46E8A89687795FDD76B2_12</vt:lpwstr>
  </property>
  <property fmtid="{D5CDD505-2E9C-101B-9397-08002B2CF9AE}" pid="4" name="KSOTemplateDocerSaveRecord">
    <vt:lpwstr>eyJoZGlkIjoiNTBiYjFiYzY0OWM2ODlhYjA1NDAwODJkOGMwZGNkYTMiLCJ1c2VySWQiOiIxMTU3MzgyOTA5In0=</vt:lpwstr>
  </property>
</Properties>
</file>