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E698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hint="eastAsia" w:ascii="仿宋_GB2312" w:hAnsi="仿宋_GB2312" w:eastAsia="仿宋_GB2312" w:cs="仿宋_GB2312"/>
          <w:sz w:val="32"/>
          <w:szCs w:val="32"/>
        </w:rPr>
      </w:pPr>
    </w:p>
    <w:p w14:paraId="22482DF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宋体" w:eastAsia="宋体"/>
          <w:sz w:val="44"/>
          <w:szCs w:val="44"/>
        </w:rPr>
      </w:pPr>
    </w:p>
    <w:p w14:paraId="1A827A7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宋体" w:eastAsia="宋体"/>
          <w:sz w:val="44"/>
          <w:szCs w:val="44"/>
        </w:rPr>
      </w:pPr>
    </w:p>
    <w:p w14:paraId="48BC8BD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宋体" w:eastAsia="宋体"/>
          <w:sz w:val="44"/>
          <w:szCs w:val="44"/>
        </w:rPr>
      </w:pPr>
    </w:p>
    <w:p w14:paraId="4DA37713">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新疆维吾尔自治区自然资源厅机关服务中心</w:t>
      </w:r>
    </w:p>
    <w:p w14:paraId="0ABAE311">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ascii="黑体" w:eastAsia="黑体"/>
          <w:sz w:val="44"/>
          <w:szCs w:val="44"/>
        </w:rPr>
      </w:pPr>
      <w:r>
        <w:rPr>
          <w:rFonts w:hint="eastAsia" w:ascii="方正小标宋_GBK" w:hAnsi="宋体" w:eastAsia="方正小标宋_GBK" w:cs="Times New Roman"/>
          <w:kern w:val="2"/>
          <w:sz w:val="44"/>
          <w:szCs w:val="44"/>
          <w:highlight w:val="none"/>
          <w:lang w:eastAsia="zh-CN"/>
        </w:rPr>
        <w:t>2025年度部门决算公开说明</w:t>
      </w:r>
    </w:p>
    <w:p w14:paraId="482ED574">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14:paraId="32269B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center"/>
        <w:textAlignment w:val="auto"/>
        <w:rPr>
          <w:rFonts w:ascii="黑体" w:eastAsia="黑体"/>
          <w:sz w:val="32"/>
          <w:szCs w:val="32"/>
        </w:rPr>
      </w:pPr>
      <w:r>
        <w:rPr>
          <w:rFonts w:ascii="黑体" w:eastAsia="黑体"/>
          <w:b/>
          <w:sz w:val="32"/>
          <w:szCs w:val="32"/>
        </w:rPr>
        <w:t>目 录</w:t>
      </w:r>
    </w:p>
    <w:p w14:paraId="46C11E9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sz w:val="32"/>
          <w:szCs w:val="32"/>
        </w:rPr>
        <w:t>第一部分单位概况</w:t>
      </w:r>
    </w:p>
    <w:p w14:paraId="7C29EEE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一、主要职能</w:t>
      </w:r>
    </w:p>
    <w:p w14:paraId="49D741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二、机构设置</w:t>
      </w:r>
    </w:p>
    <w:p w14:paraId="6DBFA19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sz w:val="32"/>
          <w:szCs w:val="32"/>
        </w:rPr>
        <w:t>第二部分 部门决算情况说明</w:t>
      </w:r>
    </w:p>
    <w:p w14:paraId="4A33F3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1D1C80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二、收入决算情况说明</w:t>
      </w:r>
    </w:p>
    <w:p w14:paraId="48077E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三、支出决算情况说明</w:t>
      </w:r>
    </w:p>
    <w:p w14:paraId="39E740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5F8F205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2608DA3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3312433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60B312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043381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08329C1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50917B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CFC1E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03048F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1625573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30A81B8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（二）政府采购情况</w:t>
      </w:r>
    </w:p>
    <w:p w14:paraId="0D720E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53D1404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45BFEB6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十二、其他需说明的事项</w:t>
      </w:r>
    </w:p>
    <w:p w14:paraId="68AA3C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sz w:val="32"/>
          <w:szCs w:val="32"/>
        </w:rPr>
        <w:t>第三部分 专业名词解释</w:t>
      </w:r>
    </w:p>
    <w:p w14:paraId="371EDA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sz w:val="32"/>
          <w:szCs w:val="32"/>
        </w:rPr>
        <w:t>第四部分 部门决算报表（见附表）</w:t>
      </w:r>
    </w:p>
    <w:p w14:paraId="759A691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一、《收入支出决算总表》</w:t>
      </w:r>
    </w:p>
    <w:p w14:paraId="5A22ABC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二、《收入决算表》</w:t>
      </w:r>
    </w:p>
    <w:p w14:paraId="42E4494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三、《支出决算表》</w:t>
      </w:r>
    </w:p>
    <w:p w14:paraId="270D839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54EC96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043F4EE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79DC72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47C0C7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68FDD37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0E720D57">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14:paraId="7FBDD6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center"/>
        <w:textAlignment w:val="auto"/>
        <w:outlineLvl w:val="0"/>
        <w:rPr>
          <w:rFonts w:ascii="黑体" w:eastAsia="黑体"/>
          <w:sz w:val="32"/>
          <w:szCs w:val="32"/>
        </w:rPr>
      </w:pPr>
      <w:r>
        <w:rPr>
          <w:rFonts w:ascii="黑体" w:eastAsia="黑体"/>
          <w:b w:val="0"/>
          <w:sz w:val="32"/>
          <w:szCs w:val="32"/>
        </w:rPr>
        <w:t>第一部分单位概况</w:t>
      </w:r>
    </w:p>
    <w:p w14:paraId="2F2B8F9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31BAD04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b w:val="0"/>
          <w:sz w:val="32"/>
          <w:szCs w:val="32"/>
        </w:rPr>
      </w:pPr>
      <w:r>
        <w:rPr>
          <w:rFonts w:ascii="仿宋_GB2312" w:eastAsia="仿宋_GB2312"/>
          <w:b w:val="0"/>
          <w:sz w:val="32"/>
          <w:szCs w:val="32"/>
        </w:rPr>
        <w:t>自治区自然资源厅机关服务中心是自治区自然资源厅直属全额事业单位，为机关办公与职工生活提供后勤服务机关办公服务、机关后勤生活服务、承办机关委托事项。机构规格相当县处级。主要职责任务是：</w:t>
      </w:r>
    </w:p>
    <w:p w14:paraId="59368032">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b w:val="0"/>
          <w:sz w:val="32"/>
          <w:szCs w:val="32"/>
        </w:rPr>
      </w:pPr>
      <w:r>
        <w:rPr>
          <w:rFonts w:ascii="仿宋_GB2312" w:eastAsia="仿宋_GB2312"/>
          <w:b w:val="0"/>
          <w:sz w:val="32"/>
          <w:szCs w:val="32"/>
        </w:rPr>
        <w:t>制定机关后勤服务管理规划、规章制度，并组织实施。</w:t>
      </w:r>
    </w:p>
    <w:p w14:paraId="0ADA4028">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left="0" w:leftChars="0" w:firstLine="640" w:firstLineChars="200"/>
        <w:jc w:val="both"/>
        <w:textAlignment w:val="auto"/>
        <w:rPr>
          <w:rFonts w:ascii="仿宋_GB2312" w:eastAsia="仿宋_GB2312"/>
          <w:b w:val="0"/>
          <w:sz w:val="32"/>
          <w:szCs w:val="32"/>
        </w:rPr>
      </w:pPr>
      <w:r>
        <w:rPr>
          <w:rFonts w:ascii="仿宋_GB2312" w:eastAsia="仿宋_GB2312"/>
          <w:b w:val="0"/>
          <w:sz w:val="32"/>
          <w:szCs w:val="32"/>
        </w:rPr>
        <w:t>承办厅机关委托的房地产管理和基建维修工作；负责厅机关公房的管理工作。</w:t>
      </w:r>
    </w:p>
    <w:p w14:paraId="7186A107">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left="0" w:leftChars="0" w:firstLine="640" w:firstLineChars="200"/>
        <w:jc w:val="both"/>
        <w:textAlignment w:val="auto"/>
        <w:rPr>
          <w:rFonts w:ascii="仿宋_GB2312" w:eastAsia="仿宋_GB2312"/>
          <w:b w:val="0"/>
          <w:sz w:val="32"/>
          <w:szCs w:val="32"/>
        </w:rPr>
      </w:pPr>
      <w:r>
        <w:rPr>
          <w:rFonts w:ascii="仿宋_GB2312" w:eastAsia="仿宋_GB2312"/>
          <w:b w:val="0"/>
          <w:sz w:val="32"/>
          <w:szCs w:val="32"/>
        </w:rPr>
        <w:t>承担厅机关委托的经营性固定资产和中心资产管理工作。</w:t>
      </w:r>
    </w:p>
    <w:p w14:paraId="2809C091">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left="0" w:leftChars="0" w:firstLine="640" w:firstLineChars="200"/>
        <w:jc w:val="both"/>
        <w:textAlignment w:val="auto"/>
        <w:rPr>
          <w:rFonts w:ascii="仿宋_GB2312" w:eastAsia="仿宋_GB2312"/>
          <w:b w:val="0"/>
          <w:sz w:val="32"/>
          <w:szCs w:val="32"/>
        </w:rPr>
      </w:pPr>
      <w:r>
        <w:rPr>
          <w:rFonts w:ascii="仿宋_GB2312" w:eastAsia="仿宋_GB2312"/>
          <w:b w:val="0"/>
          <w:sz w:val="32"/>
          <w:szCs w:val="32"/>
        </w:rPr>
        <w:t>承办厅机关委托的业务证件等制作销售工作。</w:t>
      </w:r>
    </w:p>
    <w:p w14:paraId="3B4B15EC">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left="0" w:leftChars="0" w:firstLine="640" w:firstLineChars="200"/>
        <w:jc w:val="both"/>
        <w:textAlignment w:val="auto"/>
        <w:rPr>
          <w:rFonts w:ascii="仿宋_GB2312" w:eastAsia="仿宋_GB2312"/>
          <w:b w:val="0"/>
          <w:sz w:val="32"/>
          <w:szCs w:val="32"/>
        </w:rPr>
      </w:pPr>
      <w:r>
        <w:rPr>
          <w:rFonts w:ascii="仿宋_GB2312" w:eastAsia="仿宋_GB2312"/>
          <w:b w:val="0"/>
          <w:sz w:val="32"/>
          <w:szCs w:val="32"/>
        </w:rPr>
        <w:t>承担厅机关办公区的水、电、暖、燃气、开水器、电梯、消防等设施维护管理工作；负责卫生保洁、保安门卫、人员车辆出入等管理工作；协助监督厅机关住宅区物业服务工作。</w:t>
      </w:r>
    </w:p>
    <w:p w14:paraId="23058A10">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left="0" w:leftChars="0" w:firstLine="640" w:firstLineChars="200"/>
        <w:jc w:val="both"/>
        <w:textAlignment w:val="auto"/>
        <w:rPr>
          <w:rFonts w:ascii="仿宋_GB2312" w:eastAsia="仿宋_GB2312"/>
          <w:b w:val="0"/>
          <w:sz w:val="32"/>
          <w:szCs w:val="32"/>
        </w:rPr>
      </w:pPr>
      <w:r>
        <w:rPr>
          <w:rFonts w:ascii="仿宋_GB2312" w:eastAsia="仿宋_GB2312"/>
          <w:b w:val="0"/>
          <w:sz w:val="32"/>
          <w:szCs w:val="32"/>
        </w:rPr>
        <w:t>负责厅机关车队的管理工作。</w:t>
      </w:r>
    </w:p>
    <w:p w14:paraId="50E20469">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atLeast"/>
        <w:ind w:left="0" w:leftChars="0" w:firstLine="640" w:firstLineChars="200"/>
        <w:jc w:val="both"/>
        <w:textAlignment w:val="auto"/>
        <w:rPr>
          <w:rFonts w:ascii="仿宋_GB2312" w:eastAsia="仿宋_GB2312"/>
          <w:b w:val="0"/>
          <w:sz w:val="32"/>
          <w:szCs w:val="32"/>
        </w:rPr>
      </w:pPr>
      <w:r>
        <w:rPr>
          <w:rFonts w:ascii="仿宋_GB2312" w:eastAsia="仿宋_GB2312"/>
          <w:b w:val="0"/>
          <w:sz w:val="32"/>
          <w:szCs w:val="32"/>
        </w:rPr>
        <w:t>承办厅机关食堂的管理工作。</w:t>
      </w:r>
    </w:p>
    <w:p w14:paraId="3E12AE97">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8.承办厅领导交办的其它工作。</w:t>
      </w:r>
    </w:p>
    <w:p w14:paraId="594533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0" w:name="_Toc31238"/>
      <w:bookmarkStart w:id="1" w:name="_Toc1387"/>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0"/>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1"/>
    </w:p>
    <w:p w14:paraId="0D4F770A">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kern w:val="2"/>
          <w:sz w:val="32"/>
          <w:szCs w:val="32"/>
          <w:highlight w:val="none"/>
          <w:lang w:eastAsia="zh-CN"/>
        </w:rPr>
      </w:pPr>
      <w:r>
        <w:rPr>
          <w:rFonts w:hint="eastAsia" w:ascii="仿宋_GB2312" w:hAnsi="仿宋_GB2312" w:eastAsia="仿宋_GB2312" w:cs="仿宋_GB2312"/>
          <w:kern w:val="2"/>
          <w:sz w:val="32"/>
          <w:szCs w:val="32"/>
          <w:highlight w:val="none"/>
          <w:lang w:eastAsia="zh-CN"/>
        </w:rPr>
        <w:t>新疆维吾尔自治区自然资源厅机关服务中心无下属预算单位。</w:t>
      </w:r>
    </w:p>
    <w:p w14:paraId="586D03DE">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仿宋_GB2312" w:hAnsi="仿宋_GB2312" w:eastAsia="仿宋_GB2312" w:cs="仿宋_GB2312"/>
          <w:kern w:val="2"/>
          <w:sz w:val="32"/>
          <w:szCs w:val="32"/>
          <w:highlight w:val="none"/>
          <w:lang w:eastAsia="zh-CN"/>
        </w:rPr>
        <w:sectPr>
          <w:footerReference r:id="rId5" w:type="default"/>
          <w:pgSz w:w="11906" w:h="16840"/>
          <w:pgMar w:top="1431" w:right="1247" w:bottom="1418" w:left="1169" w:header="0" w:footer="1142" w:gutter="0"/>
          <w:cols w:space="720" w:num="1"/>
        </w:sectPr>
      </w:pPr>
    </w:p>
    <w:p w14:paraId="2520BF2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center"/>
        <w:textAlignment w:val="auto"/>
        <w:outlineLvl w:val="0"/>
        <w:rPr>
          <w:rFonts w:ascii="黑体" w:eastAsia="黑体"/>
          <w:sz w:val="32"/>
          <w:szCs w:val="32"/>
        </w:rPr>
      </w:pPr>
      <w:r>
        <w:rPr>
          <w:rFonts w:ascii="黑体" w:eastAsia="黑体"/>
          <w:b w:val="0"/>
          <w:sz w:val="32"/>
          <w:szCs w:val="32"/>
        </w:rPr>
        <w:t>第二部分 部门决算情况说明</w:t>
      </w:r>
    </w:p>
    <w:p w14:paraId="133EC0C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6AAF4CB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2025年度收入总计989.30万元，其中：本年收入合计972.03万元，使用非财政拨款结余（含专用结余）17.28万元，年初结转和结余0.00万元。</w:t>
      </w:r>
    </w:p>
    <w:p w14:paraId="736C4F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2025年度支出总计989.30万元，其中：本年支出合计981.93万元，结余分配0.00万元，年末结转和结余7.38万元。</w:t>
      </w:r>
    </w:p>
    <w:p w14:paraId="2AD4248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w:t>
      </w:r>
      <w:r>
        <w:rPr>
          <w:rFonts w:hint="eastAsia" w:ascii="仿宋_GB2312" w:eastAsia="仿宋_GB2312"/>
          <w:b w:val="0"/>
          <w:sz w:val="32"/>
          <w:szCs w:val="32"/>
          <w:lang w:eastAsia="zh-CN"/>
        </w:rPr>
        <w:t>，</w:t>
      </w:r>
      <w:r>
        <w:rPr>
          <w:rFonts w:ascii="仿宋_GB2312" w:eastAsia="仿宋_GB2312"/>
          <w:b w:val="0"/>
          <w:sz w:val="32"/>
          <w:szCs w:val="32"/>
        </w:rPr>
        <w:t>增加97.92万元，增长10.99%</w:t>
      </w:r>
      <w:r>
        <w:rPr>
          <w:rFonts w:hint="eastAsia" w:ascii="仿宋_GB2312" w:eastAsia="仿宋_GB2312"/>
          <w:b w:val="0"/>
          <w:sz w:val="32"/>
          <w:szCs w:val="32"/>
          <w:lang w:eastAsia="zh-CN"/>
        </w:rPr>
        <w:t>，</w:t>
      </w:r>
      <w:r>
        <w:rPr>
          <w:rFonts w:ascii="仿宋_GB2312" w:eastAsia="仿宋_GB2312"/>
          <w:b w:val="0"/>
          <w:sz w:val="32"/>
          <w:szCs w:val="32"/>
        </w:rPr>
        <w:t>主要原因是</w:t>
      </w:r>
      <w:r>
        <w:rPr>
          <w:rFonts w:hint="eastAsia" w:ascii="仿宋_GB2312" w:eastAsia="仿宋_GB2312"/>
          <w:b w:val="0"/>
          <w:sz w:val="32"/>
          <w:szCs w:val="32"/>
          <w:lang w:eastAsia="zh-CN"/>
        </w:rPr>
        <w:t>：</w:t>
      </w:r>
      <w:r>
        <w:rPr>
          <w:rFonts w:ascii="仿宋_GB2312" w:eastAsia="仿宋_GB2312"/>
          <w:b w:val="0"/>
          <w:sz w:val="32"/>
          <w:szCs w:val="32"/>
        </w:rPr>
        <w:t>202</w:t>
      </w:r>
      <w:r>
        <w:rPr>
          <w:rFonts w:hint="eastAsia" w:ascii="仿宋_GB2312" w:eastAsia="仿宋_GB2312"/>
          <w:b w:val="0"/>
          <w:sz w:val="32"/>
          <w:szCs w:val="32"/>
          <w:lang w:val="en-US" w:eastAsia="zh-CN"/>
        </w:rPr>
        <w:t>5</w:t>
      </w:r>
      <w:r>
        <w:rPr>
          <w:rFonts w:ascii="仿宋_GB2312" w:eastAsia="仿宋_GB2312"/>
          <w:b w:val="0"/>
          <w:sz w:val="32"/>
          <w:szCs w:val="32"/>
        </w:rPr>
        <w:t>年度政策性增资</w:t>
      </w:r>
      <w:r>
        <w:rPr>
          <w:rFonts w:hint="eastAsia" w:ascii="仿宋_GB2312" w:eastAsia="仿宋_GB2312"/>
          <w:b w:val="0"/>
          <w:sz w:val="32"/>
          <w:szCs w:val="32"/>
          <w:lang w:eastAsia="zh-CN"/>
        </w:rPr>
        <w:t>，</w:t>
      </w:r>
      <w:r>
        <w:rPr>
          <w:rFonts w:ascii="仿宋_GB2312" w:eastAsia="仿宋_GB2312"/>
          <w:b w:val="0"/>
          <w:sz w:val="32"/>
          <w:szCs w:val="32"/>
        </w:rPr>
        <w:t>社保</w:t>
      </w:r>
      <w:r>
        <w:rPr>
          <w:rFonts w:hint="eastAsia" w:ascii="仿宋_GB2312" w:eastAsia="仿宋_GB2312"/>
          <w:b w:val="0"/>
          <w:sz w:val="32"/>
          <w:szCs w:val="32"/>
          <w:lang w:eastAsia="zh-CN"/>
        </w:rPr>
        <w:t>、</w:t>
      </w:r>
      <w:r>
        <w:rPr>
          <w:rFonts w:ascii="仿宋_GB2312" w:eastAsia="仿宋_GB2312"/>
          <w:b w:val="0"/>
          <w:sz w:val="32"/>
          <w:szCs w:val="32"/>
        </w:rPr>
        <w:t>公积金缴费基数年度上调，</w:t>
      </w:r>
      <w:r>
        <w:rPr>
          <w:rFonts w:hint="eastAsia" w:ascii="仿宋_GB2312" w:eastAsia="仿宋_GB2312"/>
          <w:b w:val="0"/>
          <w:sz w:val="32"/>
          <w:szCs w:val="32"/>
          <w:lang w:val="en-US" w:eastAsia="zh-CN"/>
        </w:rPr>
        <w:t>记</w:t>
      </w:r>
      <w:r>
        <w:rPr>
          <w:rFonts w:ascii="仿宋_GB2312" w:eastAsia="仿宋_GB2312"/>
          <w:b w:val="0"/>
          <w:sz w:val="32"/>
          <w:szCs w:val="32"/>
        </w:rPr>
        <w:t>实2025年度职业年金单位</w:t>
      </w:r>
      <w:r>
        <w:rPr>
          <w:rFonts w:hint="eastAsia" w:ascii="仿宋_GB2312" w:eastAsia="仿宋_GB2312"/>
          <w:b w:val="0"/>
          <w:sz w:val="32"/>
          <w:szCs w:val="32"/>
          <w:lang w:val="en-US" w:eastAsia="zh-CN"/>
        </w:rPr>
        <w:t>缴费</w:t>
      </w:r>
      <w:r>
        <w:rPr>
          <w:rFonts w:ascii="仿宋_GB2312" w:eastAsia="仿宋_GB2312"/>
          <w:b w:val="0"/>
          <w:sz w:val="32"/>
          <w:szCs w:val="32"/>
        </w:rPr>
        <w:t>，同时我单位根据新疆维吾尔自治区人力资源和社会保障厅《关于同意原自治区第一测绘院等九家单位刘涛等517人转隶的函》(新人社函〔2024〕358号)将13名在编在岗人员由经费自理转为全额拨款</w:t>
      </w:r>
      <w:r>
        <w:rPr>
          <w:rFonts w:hint="eastAsia" w:ascii="仿宋_GB2312" w:eastAsia="仿宋_GB2312"/>
          <w:b w:val="0"/>
          <w:sz w:val="32"/>
          <w:szCs w:val="32"/>
          <w:lang w:eastAsia="zh-CN"/>
        </w:rPr>
        <w:t>，</w:t>
      </w:r>
      <w:r>
        <w:rPr>
          <w:rFonts w:ascii="仿宋_GB2312" w:eastAsia="仿宋_GB2312"/>
          <w:b w:val="0"/>
          <w:sz w:val="32"/>
          <w:szCs w:val="32"/>
        </w:rPr>
        <w:t>本年度追加13名转隶人员社保</w:t>
      </w:r>
      <w:r>
        <w:rPr>
          <w:rFonts w:hint="eastAsia" w:ascii="仿宋_GB2312" w:eastAsia="仿宋_GB2312"/>
          <w:b w:val="0"/>
          <w:sz w:val="32"/>
          <w:szCs w:val="32"/>
          <w:lang w:eastAsia="zh-CN"/>
        </w:rPr>
        <w:t>、</w:t>
      </w:r>
      <w:r>
        <w:rPr>
          <w:rFonts w:ascii="仿宋_GB2312" w:eastAsia="仿宋_GB2312"/>
          <w:b w:val="0"/>
          <w:sz w:val="32"/>
          <w:szCs w:val="32"/>
        </w:rPr>
        <w:t>公积金。</w:t>
      </w:r>
    </w:p>
    <w:p w14:paraId="5C1B8E9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3B78F0E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本年收入972.03万元，其中：财政拨款收入939.98万元,占96.70%；上级补助收入0.00万元,占0.00%；事业收入0.00万元，占0.00%；经营收入31.84万元,占3.28%；附属单位上缴收入0.00万元，占0.00%；其他收入0.21万元，占0.02%。</w:t>
      </w:r>
    </w:p>
    <w:p w14:paraId="30BD72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5D06F6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本年支出981.93万元，其中：基本支出620.33万元，占63.17%；项目支出329.76万元，占33.58%；上缴上级支出0.00万元，占0.00%；经营支出31.84万元，占3.24%；对附属单位补助支出0.00万元，占0.00%。</w:t>
      </w:r>
    </w:p>
    <w:p w14:paraId="2F2C52A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74AF69C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2025年度财政拨款收入总计939.98万元，其中：年初财政拨款结转和结余0.00万元，本年财政拨款收入939.98万元。财政拨款支出总计939.98万元，其中：年末财政拨款结转和结余7.38万元，本年财政拨款支出932.60万元。</w:t>
      </w:r>
    </w:p>
    <w:p w14:paraId="096AEE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财政拨款收入支出总体与上年相比，增加283.78万元，增长43.25%，主要原因是：2025年度政策性增资，社保、公积金缴费基数年度上调，</w:t>
      </w:r>
      <w:r>
        <w:rPr>
          <w:rFonts w:hint="eastAsia" w:ascii="仿宋_GB2312" w:eastAsia="仿宋_GB2312"/>
          <w:b w:val="0"/>
          <w:sz w:val="32"/>
          <w:szCs w:val="32"/>
          <w:lang w:val="en-US" w:eastAsia="zh-CN"/>
        </w:rPr>
        <w:t>记</w:t>
      </w:r>
      <w:r>
        <w:rPr>
          <w:rFonts w:ascii="仿宋_GB2312" w:eastAsia="仿宋_GB2312"/>
          <w:b w:val="0"/>
          <w:sz w:val="32"/>
          <w:szCs w:val="32"/>
        </w:rPr>
        <w:t>实2025年度职业年金单位</w:t>
      </w:r>
      <w:r>
        <w:rPr>
          <w:rFonts w:hint="eastAsia" w:ascii="仿宋_GB2312" w:eastAsia="仿宋_GB2312"/>
          <w:b w:val="0"/>
          <w:sz w:val="32"/>
          <w:szCs w:val="32"/>
          <w:lang w:val="en-US" w:eastAsia="zh-CN"/>
        </w:rPr>
        <w:t>缴费</w:t>
      </w:r>
      <w:r>
        <w:rPr>
          <w:rFonts w:ascii="仿宋_GB2312" w:eastAsia="仿宋_GB2312"/>
          <w:b w:val="0"/>
          <w:sz w:val="32"/>
          <w:szCs w:val="32"/>
        </w:rPr>
        <w:t>，同时我单位根据新疆维吾尔自治区人力资源和社会保障厅《关于同意原自治区第一测绘院等九家单位刘涛等517人转隶的函》(新人社函〔2024〕358号)将13名在编在岗人员由经费自理转为全额拨款，本年度追加13名转隶人员社保、公积金，财政拨款收入</w:t>
      </w:r>
      <w:r>
        <w:rPr>
          <w:rFonts w:hint="eastAsia" w:ascii="仿宋_GB2312" w:eastAsia="仿宋_GB2312"/>
          <w:b w:val="0"/>
          <w:sz w:val="32"/>
          <w:szCs w:val="32"/>
          <w:lang w:val="en-US" w:eastAsia="zh-CN"/>
        </w:rPr>
        <w:t>支出</w:t>
      </w:r>
      <w:r>
        <w:rPr>
          <w:rFonts w:ascii="仿宋_GB2312" w:eastAsia="仿宋_GB2312"/>
          <w:b w:val="0"/>
          <w:sz w:val="32"/>
          <w:szCs w:val="32"/>
        </w:rPr>
        <w:t>增加。与年初预算相比，年初预算数671.99万元，决算数939.98万元，预决算差异率39.88%，主要原因是：年中追加2024年度考核奖、民族团结一家亲结对认亲交通费、退休职业年金、记实2025年职业年金单位缴费、追加职工基本医疗保险、追加调整基本工资预算、追加13名转隶人员社保、公积金。</w:t>
      </w:r>
    </w:p>
    <w:p w14:paraId="2318C8A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7E1857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三保支出、不动产权证书印制及成本性支出项目实施、项目验收等重点支出，体现在有关支出科目中。</w:t>
      </w:r>
    </w:p>
    <w:p w14:paraId="0A39949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rPr>
          <w:rFonts w:ascii="仿宋_GB2312" w:eastAsia="仿宋_GB2312"/>
          <w:sz w:val="32"/>
          <w:szCs w:val="32"/>
        </w:rPr>
      </w:pPr>
      <w:r>
        <w:rPr>
          <w:rFonts w:ascii="仿宋_GB2312" w:eastAsia="仿宋_GB2312"/>
          <w:b w:val="0"/>
          <w:sz w:val="32"/>
          <w:szCs w:val="32"/>
        </w:rPr>
        <w:t>按照支出功能分类，自然资源海洋气象等支出（类）自然资源事务（款）机关服务（项）的支出占本年财政拨款支出总额的比重最高，2025年度决算数为333.94万元，占比为35.81%，主要用于人员</w:t>
      </w:r>
      <w:r>
        <w:rPr>
          <w:rFonts w:hint="eastAsia" w:ascii="仿宋_GB2312" w:eastAsia="仿宋_GB2312"/>
          <w:b w:val="0"/>
          <w:sz w:val="32"/>
          <w:szCs w:val="32"/>
          <w:lang w:val="en-US" w:eastAsia="zh-CN"/>
        </w:rPr>
        <w:t>工资福利</w:t>
      </w:r>
      <w:r>
        <w:rPr>
          <w:rFonts w:ascii="仿宋_GB2312" w:eastAsia="仿宋_GB2312"/>
          <w:b w:val="0"/>
          <w:sz w:val="32"/>
          <w:szCs w:val="32"/>
        </w:rPr>
        <w:t>、运转公用经费。</w:t>
      </w:r>
    </w:p>
    <w:p w14:paraId="06604CA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outlineLvl w:val="2"/>
        <w:rPr>
          <w:rFonts w:ascii="黑体" w:eastAsia="黑体"/>
          <w:sz w:val="32"/>
          <w:szCs w:val="32"/>
        </w:rPr>
      </w:pPr>
      <w:r>
        <w:rPr>
          <w:rFonts w:ascii="黑体" w:eastAsia="黑体"/>
          <w:b w:val="0"/>
          <w:sz w:val="32"/>
          <w:szCs w:val="32"/>
        </w:rPr>
        <w:t>（一）一般公共预算财政拨款支出决算总体情况</w:t>
      </w:r>
    </w:p>
    <w:p w14:paraId="27B2540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2025年度一般公共预算财政拨款支出932.60万元，占本年支出合计的94.98%。与上年相比，增加276.40万元，增长42.12%，主要原因是：2025年度政策性增资，社保、公积金缴费基数年度上调，</w:t>
      </w:r>
      <w:r>
        <w:rPr>
          <w:rFonts w:hint="eastAsia" w:ascii="仿宋_GB2312" w:eastAsia="仿宋_GB2312"/>
          <w:b w:val="0"/>
          <w:sz w:val="32"/>
          <w:szCs w:val="32"/>
          <w:lang w:eastAsia="zh-CN"/>
        </w:rPr>
        <w:t>记</w:t>
      </w:r>
      <w:r>
        <w:rPr>
          <w:rFonts w:ascii="仿宋_GB2312" w:eastAsia="仿宋_GB2312"/>
          <w:b w:val="0"/>
          <w:sz w:val="32"/>
          <w:szCs w:val="32"/>
        </w:rPr>
        <w:t>实2025年度职业年金单位</w:t>
      </w:r>
      <w:r>
        <w:rPr>
          <w:rFonts w:hint="eastAsia" w:ascii="仿宋_GB2312" w:eastAsia="仿宋_GB2312"/>
          <w:b w:val="0"/>
          <w:sz w:val="32"/>
          <w:szCs w:val="32"/>
          <w:lang w:val="en-US" w:eastAsia="zh-CN"/>
        </w:rPr>
        <w:t>缴费</w:t>
      </w:r>
      <w:r>
        <w:rPr>
          <w:rFonts w:ascii="仿宋_GB2312" w:eastAsia="仿宋_GB2312"/>
          <w:b w:val="0"/>
          <w:sz w:val="32"/>
          <w:szCs w:val="32"/>
        </w:rPr>
        <w:t>，同时我单位根据新疆维吾尔自治区人力资源和社会保障厅《关于同意原自治区第一测绘院等九家单位刘涛等517人转隶的函》(新人社函〔2024〕358号)将13名在编在岗人员由经费自理转为全额拨款，本年度追加13名转隶人员社保、公积金，财政拨款增加。与年初预算相比，年初预算数671.99万元，决算数932.60万元，预决算差异率38.78%，主要原因是：年中追加2024年度考核奖、民族团结一家亲结对认亲交通费、退休职业年金、记实2025年职业年金单位缴费、追加职工基本医疗保险、追加调整基本工资预算、追加13名转隶人员社保、公积金。</w:t>
      </w:r>
    </w:p>
    <w:p w14:paraId="4429778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2"/>
        <w:rPr>
          <w:rFonts w:ascii="黑体" w:eastAsia="黑体"/>
          <w:sz w:val="32"/>
          <w:szCs w:val="32"/>
        </w:rPr>
      </w:pPr>
      <w:r>
        <w:rPr>
          <w:rFonts w:ascii="黑体" w:eastAsia="黑体"/>
          <w:b w:val="0"/>
          <w:sz w:val="32"/>
          <w:szCs w:val="32"/>
        </w:rPr>
        <w:t>（二）一般公共预算财政拨款支出决算结构情况</w:t>
      </w:r>
    </w:p>
    <w:p w14:paraId="06054B9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社会保障和就业支出（类）181.95万元，占19.51%。</w:t>
      </w:r>
    </w:p>
    <w:p w14:paraId="519F7C4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卫生健康支出（类）52.17万元，占5.59%。</w:t>
      </w:r>
    </w:p>
    <w:p w14:paraId="464A43F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自然资源海洋气象等支出（类）663.70万元，占71.17%。</w:t>
      </w:r>
    </w:p>
    <w:p w14:paraId="0B91170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住房保障支出（类）34.77万元，占3.73%。</w:t>
      </w:r>
    </w:p>
    <w:p w14:paraId="32C89E1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2"/>
        <w:rPr>
          <w:rFonts w:ascii="黑体" w:eastAsia="黑体"/>
          <w:sz w:val="32"/>
          <w:szCs w:val="32"/>
        </w:rPr>
      </w:pPr>
      <w:r>
        <w:rPr>
          <w:rFonts w:ascii="黑体" w:eastAsia="黑体"/>
          <w:b w:val="0"/>
          <w:sz w:val="32"/>
          <w:szCs w:val="32"/>
        </w:rPr>
        <w:t>（三）一般公共预算财政拨款支出决算具体情况</w:t>
      </w:r>
    </w:p>
    <w:p w14:paraId="53EED47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社会保障和就业支出（类）行政事业单位养老支出（款）事业单位离退休（项）：支出决算数为76.62万元，比上年决算增加7.15万元，增长10.29%，主要原因是：本年度退休人员增加、退休人员奖励性绩效增加。</w:t>
      </w:r>
    </w:p>
    <w:p w14:paraId="5F3856A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社会保障和就业支出（类）行政事业单位养老支出（款）机关事业单位基本养老保险缴费支出（项）：支出决算数为48.16万元，比上年决算增加22.82万元，</w:t>
      </w:r>
      <w:r>
        <w:rPr>
          <w:rFonts w:hint="eastAsia" w:ascii="仿宋_GB2312" w:eastAsia="仿宋_GB2312"/>
          <w:b w:val="0"/>
          <w:sz w:val="32"/>
          <w:szCs w:val="32"/>
          <w:lang w:val="en-US" w:eastAsia="zh-CN"/>
        </w:rPr>
        <w:t>增长</w:t>
      </w:r>
      <w:r>
        <w:rPr>
          <w:rFonts w:ascii="仿宋_GB2312" w:eastAsia="仿宋_GB2312"/>
          <w:b w:val="0"/>
          <w:sz w:val="32"/>
          <w:szCs w:val="32"/>
        </w:rPr>
        <w:t>90.06%，主要原因是：2025年在职人员工资普调，根据规定调整社保基数，同时追加13名转隶人员机关事业单位基本养老保险缴费支出。</w:t>
      </w:r>
    </w:p>
    <w:p w14:paraId="5325CB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机关事业单位职业年金缴费支出（项）：支出决算数为57.17万元，比上年决算增加57.17万元，增长100.00%，主要原因是：2024年无在职转退休人员，本年职业年金申拨人数比上年增加2人。</w:t>
      </w:r>
    </w:p>
    <w:p w14:paraId="0F72BF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卫生健康支出（类）行政事业单位医疗（款）事业单位医疗（项）：支出决算数为30.27万元，比上年决算增加18.39万元，增长154.80%，主要原因是：2025年在职人员工资普调，根据规定调整医保基数，同时追加13名转隶人员事业单位医疗支出。</w:t>
      </w:r>
    </w:p>
    <w:p w14:paraId="010E2AF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卫生健康支出（类）行政事业单位医疗（款）公务员医疗补助（项）：支出决算数为21.90万元，比上年决算增加9.55万元，增长77.33%，主要原因是：2025年在职人员工资普调，根据规定调整医保基数，同时追加13名转隶人员公务员医疗补助支出。</w:t>
      </w:r>
    </w:p>
    <w:p w14:paraId="68465F6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自然资源海洋气象等支出（类）自然资源事务（款）机关服务（项）：支出决算数为333.94万元，比上年决算增加127.54万元，增长61.79%，主要原因是：我单位根据新疆维吾尔自治区人力资源和社会保障厅《关于同意原自治区第一测绘院等九家单位刘涛等517人转隶的函》(新人社函〔2024〕358号)将13名在编在岗人员由经费自理转为全额拨款</w:t>
      </w:r>
      <w:r>
        <w:rPr>
          <w:rFonts w:hint="eastAsia" w:ascii="仿宋_GB2312" w:eastAsia="仿宋_GB2312"/>
          <w:b w:val="0"/>
          <w:sz w:val="32"/>
          <w:szCs w:val="32"/>
          <w:lang w:eastAsia="zh-CN"/>
        </w:rPr>
        <w:t>，基本支出较上年增加</w:t>
      </w:r>
      <w:r>
        <w:rPr>
          <w:rFonts w:ascii="仿宋_GB2312" w:eastAsia="仿宋_GB2312"/>
          <w:b w:val="0"/>
          <w:sz w:val="32"/>
          <w:szCs w:val="32"/>
        </w:rPr>
        <w:t>。</w:t>
      </w:r>
    </w:p>
    <w:p w14:paraId="0ACA2FD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val="en-US" w:eastAsia="zh-CN"/>
        </w:rPr>
        <w:t>.</w:t>
      </w:r>
      <w:r>
        <w:rPr>
          <w:rFonts w:ascii="仿宋_GB2312" w:eastAsia="仿宋_GB2312"/>
          <w:b w:val="0"/>
          <w:sz w:val="32"/>
          <w:szCs w:val="32"/>
        </w:rPr>
        <w:t>自然资源海洋气象等支出（类）自然资源事务（款）自然资源调查与确权登记（项）：支出决算数为329.76万元，比上年决算增加329.76万元，增长100.00%，主要原因是：2025年将财政项目</w:t>
      </w:r>
      <w:r>
        <w:rPr>
          <w:rFonts w:hint="eastAsia" w:ascii="仿宋_GB2312" w:eastAsia="仿宋_GB2312"/>
          <w:b w:val="0"/>
          <w:sz w:val="32"/>
          <w:szCs w:val="32"/>
        </w:rPr>
        <w:t>不动产权证书印制及成本性支出</w:t>
      </w:r>
      <w:r>
        <w:rPr>
          <w:rFonts w:ascii="仿宋_GB2312" w:eastAsia="仿宋_GB2312"/>
          <w:b w:val="0"/>
          <w:sz w:val="32"/>
          <w:szCs w:val="32"/>
        </w:rPr>
        <w:t>功能科目由其他自然资源事务支出（项）调整为自然资源调查与确权登记（项），导致2025年度决算与上年决算相比增加。</w:t>
      </w:r>
    </w:p>
    <w:p w14:paraId="2C6C4ED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8</w:t>
      </w:r>
      <w:r>
        <w:rPr>
          <w:rFonts w:hint="eastAsia" w:ascii="仿宋_GB2312" w:eastAsia="仿宋_GB2312"/>
          <w:b w:val="0"/>
          <w:sz w:val="32"/>
          <w:szCs w:val="32"/>
          <w:lang w:val="en-US" w:eastAsia="zh-CN"/>
        </w:rPr>
        <w:t>.</w:t>
      </w:r>
      <w:r>
        <w:rPr>
          <w:rFonts w:ascii="仿宋_GB2312" w:eastAsia="仿宋_GB2312"/>
          <w:b w:val="0"/>
          <w:sz w:val="32"/>
          <w:szCs w:val="32"/>
        </w:rPr>
        <w:t>自然资源海洋气象等支出（类）自然资源事务（款）其他自然资源事务支出（项）：支出决算数为0.00万元，比上年决算减少311.76万元，下降100.00%，主要原因是：2025年将财政项目</w:t>
      </w:r>
      <w:r>
        <w:rPr>
          <w:rFonts w:hint="eastAsia" w:ascii="仿宋_GB2312" w:eastAsia="仿宋_GB2312"/>
          <w:b w:val="0"/>
          <w:sz w:val="32"/>
          <w:szCs w:val="32"/>
        </w:rPr>
        <w:t>不动产权证印刷及成本性支出</w:t>
      </w:r>
      <w:r>
        <w:rPr>
          <w:rFonts w:ascii="仿宋_GB2312" w:eastAsia="仿宋_GB2312"/>
          <w:b w:val="0"/>
          <w:sz w:val="32"/>
          <w:szCs w:val="32"/>
        </w:rPr>
        <w:t>功能科目由其他自然资源事务支出（项）调整为自然资源调查与确权登记（项），导致2025年度决算与上年决算相比减少。</w:t>
      </w:r>
    </w:p>
    <w:p w14:paraId="1B7D02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textAlignment w:val="auto"/>
        <w:rPr>
          <w:rFonts w:ascii="仿宋_GB2312" w:eastAsia="仿宋_GB2312"/>
          <w:sz w:val="32"/>
          <w:szCs w:val="32"/>
        </w:rPr>
      </w:pPr>
      <w:r>
        <w:rPr>
          <w:rFonts w:ascii="仿宋_GB2312" w:eastAsia="仿宋_GB2312"/>
          <w:b w:val="0"/>
          <w:sz w:val="32"/>
          <w:szCs w:val="32"/>
        </w:rPr>
        <w:t>9</w:t>
      </w:r>
      <w:r>
        <w:rPr>
          <w:rFonts w:hint="eastAsia" w:ascii="仿宋_GB2312" w:eastAsia="仿宋_GB2312"/>
          <w:b w:val="0"/>
          <w:sz w:val="32"/>
          <w:szCs w:val="32"/>
          <w:lang w:val="en-US" w:eastAsia="zh-CN"/>
        </w:rPr>
        <w:t>.</w:t>
      </w:r>
      <w:r>
        <w:rPr>
          <w:rFonts w:ascii="仿宋_GB2312" w:eastAsia="仿宋_GB2312"/>
          <w:b w:val="0"/>
          <w:sz w:val="32"/>
          <w:szCs w:val="32"/>
        </w:rPr>
        <w:t>住房保障支出（类）住房改革支出（款）住房公积金（项）：支出决算数为34.77万元，比上年决算增加15.77万元，增长83.00%，主要原因是：2025年在职人员工资普调，根据规定调整公积金数，同时追加13名转隶人员住房公积金支出。</w:t>
      </w:r>
    </w:p>
    <w:p w14:paraId="1E96CCE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122985B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一般公共预算财政拨款基本支出602.84万元，其中：人员经费576.19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14:paraId="6035161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公用经费26.64万元，包括：办公费、水费、电费、邮电费、取暖费、物业管理费、差旅费、培训费、工会经费、福利费、公务用车运行维护费、其他交通费用和其他商品和服务支出。</w:t>
      </w:r>
    </w:p>
    <w:p w14:paraId="1989FE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0CC549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78EF43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267DD3E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113EBBA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14:paraId="34A5B7E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2025年度财政拨款“三公”经费支出2.86万元，比上年增加2.86万元，增长100</w:t>
      </w:r>
      <w:r>
        <w:rPr>
          <w:rFonts w:hint="eastAsia" w:ascii="仿宋_GB2312" w:hAnsi="仿宋_GB2312" w:eastAsia="仿宋_GB2312" w:cs="仿宋_GB2312"/>
          <w:b w:val="0"/>
          <w:sz w:val="32"/>
          <w:szCs w:val="32"/>
          <w:lang w:val="en-US" w:eastAsia="zh-CN"/>
        </w:rPr>
        <w:t>.00</w:t>
      </w:r>
      <w:r>
        <w:rPr>
          <w:rFonts w:hint="eastAsia" w:ascii="仿宋_GB2312" w:hAnsi="仿宋_GB2312" w:eastAsia="仿宋_GB2312" w:cs="仿宋_GB2312"/>
          <w:b w:val="0"/>
          <w:sz w:val="32"/>
          <w:szCs w:val="32"/>
        </w:rPr>
        <w:t>%，主要原因是：我单位有在编车辆2辆，</w:t>
      </w:r>
      <w:r>
        <w:rPr>
          <w:rFonts w:hint="eastAsia" w:ascii="仿宋_GB2312" w:hAnsi="仿宋_GB2312" w:eastAsia="仿宋_GB2312" w:cs="仿宋_GB2312"/>
          <w:b w:val="0"/>
          <w:sz w:val="32"/>
          <w:szCs w:val="32"/>
          <w:lang w:val="en-US" w:eastAsia="zh-CN"/>
        </w:rPr>
        <w:t>本年车辆燃油费、保险费较上年增加</w:t>
      </w:r>
      <w:r>
        <w:rPr>
          <w:rFonts w:hint="eastAsia" w:ascii="仿宋_GB2312" w:hAnsi="仿宋_GB2312" w:eastAsia="仿宋_GB2312" w:cs="仿宋_GB2312"/>
          <w:b w:val="0"/>
          <w:sz w:val="32"/>
          <w:szCs w:val="32"/>
        </w:rPr>
        <w:t>，导致2025年“三公”经费决算比上年增加。其中：因公出国（境）费用支出0.00万元,占0.00%，比上年增加0.00万元，增长0.00%，主要原因是：</w:t>
      </w:r>
      <w:r>
        <w:rPr>
          <w:rFonts w:hint="eastAsia" w:ascii="仿宋_GB2312" w:hAnsi="仿宋_GB2312" w:eastAsia="仿宋_GB2312" w:cs="仿宋_GB2312"/>
          <w:b w:val="0"/>
          <w:sz w:val="32"/>
          <w:szCs w:val="32"/>
          <w:lang w:val="en-US" w:eastAsia="zh-CN"/>
        </w:rPr>
        <w:t>2024年与2025年</w:t>
      </w:r>
      <w:r>
        <w:rPr>
          <w:rFonts w:hint="eastAsia" w:ascii="仿宋_GB2312" w:hAnsi="仿宋_GB2312" w:eastAsia="仿宋_GB2312" w:cs="仿宋_GB2312"/>
          <w:b w:val="0"/>
          <w:sz w:val="32"/>
          <w:szCs w:val="32"/>
        </w:rPr>
        <w:t>我单位</w:t>
      </w:r>
      <w:r>
        <w:rPr>
          <w:rFonts w:hint="eastAsia" w:ascii="仿宋_GB2312" w:hAnsi="仿宋_GB2312" w:eastAsia="仿宋_GB2312" w:cs="仿宋_GB2312"/>
          <w:b w:val="0"/>
          <w:sz w:val="32"/>
          <w:szCs w:val="32"/>
          <w:lang w:eastAsia="zh-CN"/>
        </w:rPr>
        <w:t>均</w:t>
      </w:r>
      <w:r>
        <w:rPr>
          <w:rFonts w:hint="eastAsia" w:ascii="仿宋_GB2312" w:hAnsi="仿宋_GB2312" w:eastAsia="仿宋_GB2312" w:cs="仿宋_GB2312"/>
          <w:b w:val="0"/>
          <w:sz w:val="32"/>
          <w:szCs w:val="32"/>
        </w:rPr>
        <w:t>无因公出国（境）费；公务用车购置及运行维护费支出2.86万元，占100.00%，比上年增加2.86万元，增长100</w:t>
      </w:r>
      <w:r>
        <w:rPr>
          <w:rFonts w:hint="eastAsia" w:ascii="仿宋_GB2312" w:hAnsi="仿宋_GB2312" w:eastAsia="仿宋_GB2312" w:cs="仿宋_GB2312"/>
          <w:b w:val="0"/>
          <w:sz w:val="32"/>
          <w:szCs w:val="32"/>
          <w:lang w:val="en-US" w:eastAsia="zh-CN"/>
        </w:rPr>
        <w:t>.00</w:t>
      </w:r>
      <w:r>
        <w:rPr>
          <w:rFonts w:hint="eastAsia" w:ascii="仿宋_GB2312" w:hAnsi="仿宋_GB2312" w:eastAsia="仿宋_GB2312" w:cs="仿宋_GB2312"/>
          <w:b w:val="0"/>
          <w:sz w:val="32"/>
          <w:szCs w:val="32"/>
        </w:rPr>
        <w:t>%，主要原因是：我单位有在编车辆2辆，</w:t>
      </w:r>
      <w:r>
        <w:rPr>
          <w:rFonts w:hint="eastAsia" w:ascii="仿宋_GB2312" w:hAnsi="仿宋_GB2312" w:eastAsia="仿宋_GB2312" w:cs="仿宋_GB2312"/>
          <w:b w:val="0"/>
          <w:sz w:val="32"/>
          <w:szCs w:val="32"/>
          <w:lang w:val="en-US" w:eastAsia="zh-CN"/>
        </w:rPr>
        <w:t>本年车辆燃油费、保险费较上年增加</w:t>
      </w:r>
      <w:r>
        <w:rPr>
          <w:rFonts w:hint="eastAsia" w:ascii="仿宋_GB2312" w:hAnsi="仿宋_GB2312" w:eastAsia="仿宋_GB2312" w:cs="仿宋_GB2312"/>
          <w:b w:val="0"/>
          <w:sz w:val="32"/>
          <w:szCs w:val="32"/>
        </w:rPr>
        <w:t>，导致2025年公务用车运行费决算比上年增加；公务接待费支出0.00万元，占0.00%，比上年增加0.00万元，增长0.00%，主要原因是：</w:t>
      </w:r>
      <w:r>
        <w:rPr>
          <w:rFonts w:hint="eastAsia" w:ascii="仿宋_GB2312" w:hAnsi="仿宋_GB2312" w:eastAsia="仿宋_GB2312" w:cs="仿宋_GB2312"/>
          <w:b w:val="0"/>
          <w:sz w:val="32"/>
          <w:szCs w:val="32"/>
          <w:lang w:val="en-US" w:eastAsia="zh-CN"/>
        </w:rPr>
        <w:t>2024年与2025年</w:t>
      </w:r>
      <w:r>
        <w:rPr>
          <w:rFonts w:hint="eastAsia" w:ascii="仿宋_GB2312" w:hAnsi="仿宋_GB2312" w:eastAsia="仿宋_GB2312" w:cs="仿宋_GB2312"/>
          <w:b w:val="0"/>
          <w:sz w:val="32"/>
          <w:szCs w:val="32"/>
        </w:rPr>
        <w:t>我单位</w:t>
      </w:r>
      <w:r>
        <w:rPr>
          <w:rFonts w:hint="eastAsia" w:ascii="仿宋_GB2312" w:hAnsi="仿宋_GB2312" w:eastAsia="仿宋_GB2312" w:cs="仿宋_GB2312"/>
          <w:b w:val="0"/>
          <w:sz w:val="32"/>
          <w:szCs w:val="32"/>
          <w:lang w:eastAsia="zh-CN"/>
        </w:rPr>
        <w:t>均</w:t>
      </w:r>
      <w:r>
        <w:rPr>
          <w:rFonts w:hint="eastAsia" w:ascii="仿宋_GB2312" w:hAnsi="仿宋_GB2312" w:eastAsia="仿宋_GB2312" w:cs="仿宋_GB2312"/>
          <w:b w:val="0"/>
          <w:sz w:val="32"/>
          <w:szCs w:val="32"/>
        </w:rPr>
        <w:t>无公务接待费用。</w:t>
      </w:r>
    </w:p>
    <w:p w14:paraId="6DEBC58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具体情况如下：</w:t>
      </w:r>
    </w:p>
    <w:p w14:paraId="2A06F36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因公出国（境）费用0.00万元，开支内容包括</w:t>
      </w:r>
      <w:r>
        <w:rPr>
          <w:rFonts w:hint="eastAsia" w:ascii="仿宋_GB2312" w:hAnsi="仿宋_GB2312" w:eastAsia="仿宋_GB2312" w:cs="仿宋_GB2312"/>
          <w:b w:val="0"/>
          <w:sz w:val="32"/>
          <w:szCs w:val="32"/>
          <w:lang w:eastAsia="zh-CN"/>
        </w:rPr>
        <w:t>我单位无</w:t>
      </w:r>
      <w:r>
        <w:rPr>
          <w:rFonts w:hint="eastAsia" w:ascii="仿宋_GB2312" w:hAnsi="仿宋_GB2312" w:eastAsia="仿宋_GB2312" w:cs="仿宋_GB2312"/>
          <w:b w:val="0"/>
          <w:sz w:val="32"/>
          <w:szCs w:val="32"/>
        </w:rPr>
        <w:t>因公出国（境）费。单位全年安排的因公出国（境）团组0个，因公出国（境）0人次。</w:t>
      </w:r>
    </w:p>
    <w:p w14:paraId="4EF7B9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公务用车购置及运行维护费2.86万元，其中：公务用车购置费0.00万元，公务用车运行维护费2.86万元。公务用车运行维护费开支内容包括车辆保险</w:t>
      </w:r>
      <w:r>
        <w:rPr>
          <w:rFonts w:hint="eastAsia" w:ascii="仿宋_GB2312" w:hAnsi="仿宋_GB2312" w:eastAsia="仿宋_GB2312" w:cs="仿宋_GB2312"/>
          <w:b w:val="0"/>
          <w:sz w:val="32"/>
          <w:szCs w:val="32"/>
          <w:lang w:val="en-US" w:eastAsia="zh-CN"/>
        </w:rPr>
        <w:t>费、燃油费</w:t>
      </w:r>
      <w:r>
        <w:rPr>
          <w:rFonts w:hint="eastAsia" w:ascii="仿宋_GB2312" w:hAnsi="仿宋_GB2312" w:eastAsia="仿宋_GB2312" w:cs="仿宋_GB2312"/>
          <w:b w:val="0"/>
          <w:sz w:val="32"/>
          <w:szCs w:val="32"/>
        </w:rPr>
        <w:t>及车辆维修</w:t>
      </w:r>
      <w:r>
        <w:rPr>
          <w:rFonts w:hint="eastAsia" w:ascii="仿宋_GB2312" w:hAnsi="仿宋_GB2312" w:eastAsia="仿宋_GB2312" w:cs="仿宋_GB2312"/>
          <w:b w:val="0"/>
          <w:sz w:val="32"/>
          <w:szCs w:val="32"/>
          <w:lang w:val="en-US" w:eastAsia="zh-CN"/>
        </w:rPr>
        <w:t>费</w:t>
      </w:r>
      <w:r>
        <w:rPr>
          <w:rFonts w:hint="eastAsia" w:ascii="仿宋_GB2312" w:hAnsi="仿宋_GB2312" w:eastAsia="仿宋_GB2312" w:cs="仿宋_GB2312"/>
          <w:b w:val="0"/>
          <w:sz w:val="32"/>
          <w:szCs w:val="32"/>
        </w:rPr>
        <w:t>。公务用车购置数0辆，公务用车保有量3辆。国有资产占用情况中固定资产车辆3辆，与公务用车保有量差异原因是：我单位国有</w:t>
      </w:r>
      <w:r>
        <w:rPr>
          <w:rFonts w:ascii="仿宋_GB2312" w:eastAsia="仿宋_GB2312"/>
          <w:b w:val="0"/>
          <w:sz w:val="32"/>
          <w:szCs w:val="32"/>
        </w:rPr>
        <w:t>资</w:t>
      </w:r>
      <w:r>
        <w:rPr>
          <w:rFonts w:hint="eastAsia" w:ascii="仿宋_GB2312" w:hAnsi="仿宋_GB2312" w:eastAsia="仿宋_GB2312" w:cs="仿宋_GB2312"/>
          <w:b w:val="0"/>
          <w:sz w:val="32"/>
          <w:szCs w:val="32"/>
        </w:rPr>
        <w:t>产占用情况中固定资产车辆与公务用车保有量一致，无差异。</w:t>
      </w:r>
    </w:p>
    <w:p w14:paraId="0F164C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公务接待费0.00万元，开支内容包括</w:t>
      </w:r>
      <w:r>
        <w:rPr>
          <w:rFonts w:hint="eastAsia" w:ascii="仿宋_GB2312" w:hAnsi="仿宋_GB2312" w:eastAsia="仿宋_GB2312" w:cs="仿宋_GB2312"/>
          <w:b w:val="0"/>
          <w:sz w:val="32"/>
          <w:szCs w:val="32"/>
          <w:lang w:eastAsia="zh-CN"/>
        </w:rPr>
        <w:t>我单位无</w:t>
      </w:r>
      <w:r>
        <w:rPr>
          <w:rFonts w:hint="eastAsia" w:ascii="仿宋_GB2312" w:hAnsi="仿宋_GB2312" w:eastAsia="仿宋_GB2312" w:cs="仿宋_GB2312"/>
          <w:b w:val="0"/>
          <w:sz w:val="32"/>
          <w:szCs w:val="32"/>
        </w:rPr>
        <w:t>公务接待费。单位全年安排的国内公务接待0批次，0人次。</w:t>
      </w:r>
    </w:p>
    <w:p w14:paraId="3376771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与全年预算相比，财政拨款“三公”经费支出全年预算数2.86万元，决算数2.86万元，预决算差异率0.00%，主要原因是：严格按照全年预算执行</w:t>
      </w:r>
      <w:r>
        <w:rPr>
          <w:rFonts w:hint="eastAsia" w:ascii="仿宋_GB2312" w:hAnsi="仿宋_GB2312" w:eastAsia="仿宋_GB2312" w:cs="仿宋_GB2312"/>
          <w:b w:val="0"/>
          <w:sz w:val="32"/>
          <w:szCs w:val="32"/>
          <w:lang w:eastAsia="zh-CN"/>
        </w:rPr>
        <w:t>，预决算无差异</w:t>
      </w:r>
      <w:r>
        <w:rPr>
          <w:rFonts w:hint="eastAsia" w:ascii="仿宋_GB2312" w:hAnsi="仿宋_GB2312" w:eastAsia="仿宋_GB2312" w:cs="仿宋_GB2312"/>
          <w:b w:val="0"/>
          <w:sz w:val="32"/>
          <w:szCs w:val="32"/>
        </w:rPr>
        <w:t>。其中：因公出国（境）费用全年预算数0.00万元，决算数0.00万元，预决算差异率0.00%，主要原因是：我单位无因公出国（境）经费支出</w:t>
      </w:r>
      <w:r>
        <w:rPr>
          <w:rFonts w:hint="eastAsia" w:ascii="仿宋_GB2312" w:hAnsi="仿宋_GB2312" w:eastAsia="仿宋_GB2312" w:cs="仿宋_GB2312"/>
          <w:b w:val="0"/>
          <w:sz w:val="32"/>
          <w:szCs w:val="32"/>
          <w:lang w:eastAsia="zh-CN"/>
        </w:rPr>
        <w:t>预算</w:t>
      </w:r>
      <w:r>
        <w:rPr>
          <w:rFonts w:hint="eastAsia" w:ascii="仿宋_GB2312" w:hAnsi="仿宋_GB2312" w:eastAsia="仿宋_GB2312" w:cs="仿宋_GB2312"/>
          <w:b w:val="0"/>
          <w:sz w:val="32"/>
          <w:szCs w:val="32"/>
        </w:rPr>
        <w:t>，且全年未产生因公出国（境）费用；公务用车购置费全年预算数0.00万元，决算数0.00万元，预决算差异率0.00%，主要原因是：我单位无公务用车购置预算，且全年未产生公务用车购置费用；公务用车运行维护费全年预算数2.86万元，决算数2.86万元，预决算差异率0.00%，主要原因是：严格按照全年预算执行</w:t>
      </w:r>
      <w:r>
        <w:rPr>
          <w:rFonts w:hint="eastAsia" w:ascii="仿宋_GB2312" w:hAnsi="仿宋_GB2312" w:eastAsia="仿宋_GB2312" w:cs="仿宋_GB2312"/>
          <w:b w:val="0"/>
          <w:sz w:val="32"/>
          <w:szCs w:val="32"/>
          <w:lang w:eastAsia="zh-CN"/>
        </w:rPr>
        <w:t>，预决算无差异</w:t>
      </w:r>
      <w:r>
        <w:rPr>
          <w:rFonts w:hint="eastAsia" w:ascii="仿宋_GB2312" w:hAnsi="仿宋_GB2312" w:eastAsia="仿宋_GB2312" w:cs="仿宋_GB2312"/>
          <w:b w:val="0"/>
          <w:sz w:val="32"/>
          <w:szCs w:val="32"/>
        </w:rPr>
        <w:t>；公务接待费全年预算数0.00万元，决算数0.00万元，预决算差异率0.00%，主要原因是：我单位无公务接待费预算，且全年未产生公务接待费用。</w:t>
      </w:r>
    </w:p>
    <w:p w14:paraId="718FEEB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321F486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2"/>
        <w:rPr>
          <w:rFonts w:ascii="黑体" w:eastAsia="黑体"/>
          <w:sz w:val="32"/>
          <w:szCs w:val="32"/>
        </w:rPr>
      </w:pPr>
      <w:r>
        <w:rPr>
          <w:rFonts w:ascii="黑体" w:eastAsia="黑体"/>
          <w:b w:val="0"/>
          <w:sz w:val="32"/>
          <w:szCs w:val="32"/>
        </w:rPr>
        <w:t>（一）机关运行经费及公用经费支出情况</w:t>
      </w:r>
    </w:p>
    <w:p w14:paraId="088E973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新疆维吾尔自治区自然资源厅机关服务中心（事业单位）公用经费支出26.64万元，比上年增加2.54万元，增长10.54%，主要原因是：2023-2024年取暖费政策调整，导致2025年我单位公用经费经费财政拨款较上年增加。</w:t>
      </w:r>
    </w:p>
    <w:p w14:paraId="1093116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2"/>
        <w:rPr>
          <w:rFonts w:ascii="黑体" w:eastAsia="黑体"/>
          <w:sz w:val="32"/>
          <w:szCs w:val="32"/>
        </w:rPr>
      </w:pPr>
      <w:r>
        <w:rPr>
          <w:rFonts w:ascii="黑体" w:eastAsia="黑体"/>
          <w:b w:val="0"/>
          <w:sz w:val="32"/>
          <w:szCs w:val="32"/>
        </w:rPr>
        <w:t>（二）政府采购情况</w:t>
      </w:r>
    </w:p>
    <w:p w14:paraId="11415F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2025年度政府采购支出总额94.13万元，其中：政府采购货物支出0.92万元、政府采购工程支出0.00万元、政府采购服务支出93.21万元。</w:t>
      </w:r>
    </w:p>
    <w:p w14:paraId="2F8782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授予中小企业合同金额94.13万元，占政府采购支出总额的100.00%，其中：授予小微企业合同金额94.13万元，占政府采购支出总额的100.00%。</w:t>
      </w:r>
    </w:p>
    <w:p w14:paraId="6C2CBB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2"/>
        <w:rPr>
          <w:rFonts w:ascii="黑体" w:eastAsia="黑体"/>
          <w:sz w:val="32"/>
          <w:szCs w:val="32"/>
        </w:rPr>
      </w:pPr>
      <w:r>
        <w:rPr>
          <w:rFonts w:ascii="黑体" w:eastAsia="黑体"/>
          <w:b w:val="0"/>
          <w:sz w:val="32"/>
          <w:szCs w:val="32"/>
        </w:rPr>
        <w:t>（三）国有资产占用情况说明</w:t>
      </w:r>
    </w:p>
    <w:p w14:paraId="654C4C7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截至2025年12月31日，房屋2,366.93平方米，价值272.76万元。车辆3辆，价值97.56万元，其中：副部（省）级及以上领导用车0辆、主要负责人用车0辆、机要通信用车0辆、应急保障用车0辆、执法执勤用车0辆、特种专业技术用车0辆、离退休干部服务用车0辆、其他用车3辆，其他用车主要是：保障本单位及自然资源厅正常运转的</w:t>
      </w:r>
      <w:r>
        <w:rPr>
          <w:rFonts w:hint="eastAsia" w:ascii="仿宋_GB2312" w:eastAsia="仿宋_GB2312"/>
          <w:b w:val="0"/>
          <w:sz w:val="32"/>
          <w:szCs w:val="32"/>
          <w:lang w:eastAsia="zh-CN"/>
        </w:rPr>
        <w:t>一般公务</w:t>
      </w:r>
      <w:r>
        <w:rPr>
          <w:rFonts w:ascii="仿宋_GB2312" w:eastAsia="仿宋_GB2312"/>
          <w:b w:val="0"/>
          <w:sz w:val="32"/>
          <w:szCs w:val="32"/>
        </w:rPr>
        <w:t>用车;单价100万元（含）以上设备（不含车辆）0台（套）。</w:t>
      </w:r>
    </w:p>
    <w:p w14:paraId="5B70235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5D2CE0F9">
      <w:pPr>
        <w:keepNext w:val="0"/>
        <w:keepLines w:val="0"/>
        <w:pageBreakBefore w:val="0"/>
        <w:widowControl/>
        <w:kinsoku/>
        <w:wordWrap/>
        <w:overflowPunct/>
        <w:topLinePunct w:val="0"/>
        <w:autoSpaceDE/>
        <w:autoSpaceDN/>
        <w:bidi w:val="0"/>
        <w:adjustRightInd/>
        <w:snapToGrid/>
        <w:spacing w:line="560" w:lineRule="atLeast"/>
        <w:ind w:firstLine="640" w:firstLineChars="200"/>
        <w:textAlignment w:val="auto"/>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w:t>
      </w:r>
      <w:r>
        <w:rPr>
          <w:rFonts w:hint="eastAsia" w:ascii="仿宋_GB2312" w:eastAsia="仿宋_GB2312"/>
          <w:b w:val="0"/>
          <w:sz w:val="32"/>
          <w:szCs w:val="32"/>
          <w:lang w:val="en-US" w:eastAsia="zh-CN"/>
        </w:rPr>
        <w:t>380</w:t>
      </w:r>
      <w:r>
        <w:rPr>
          <w:rFonts w:ascii="仿宋_GB2312" w:eastAsia="仿宋_GB2312"/>
          <w:b w:val="0"/>
          <w:sz w:val="32"/>
          <w:szCs w:val="32"/>
        </w:rPr>
        <w:t>万元，全年执行数</w:t>
      </w:r>
      <w:r>
        <w:rPr>
          <w:rFonts w:hint="eastAsia" w:ascii="仿宋_GB2312" w:eastAsia="仿宋_GB2312"/>
          <w:b w:val="0"/>
          <w:sz w:val="32"/>
          <w:szCs w:val="32"/>
          <w:lang w:val="en-US" w:eastAsia="zh-CN"/>
        </w:rPr>
        <w:t>379.09</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一是</w:t>
      </w:r>
      <w:r>
        <w:rPr>
          <w:rFonts w:ascii="仿宋_GB2312" w:eastAsia="仿宋_GB2312"/>
          <w:b w:val="0"/>
          <w:sz w:val="32"/>
          <w:szCs w:val="32"/>
        </w:rPr>
        <w:t>加强对绩效目标管理的认识，提升绩效目标可量化性。今后我单位将加强对预算绩效目标管理的学习，逐步树立以绩效目标为导向的管理理念，在申请预算时即明确细化、量化的目标，以清晰掌握年度工作目标和方向，在目标的约束下开展工作。</w:t>
      </w:r>
      <w:r>
        <w:rPr>
          <w:rFonts w:hint="eastAsia" w:ascii="仿宋_GB2312" w:eastAsia="仿宋_GB2312"/>
          <w:b w:val="0"/>
          <w:sz w:val="32"/>
          <w:szCs w:val="32"/>
          <w:lang w:val="en-US" w:eastAsia="zh-CN"/>
        </w:rPr>
        <w:t>二是</w:t>
      </w:r>
      <w:r>
        <w:rPr>
          <w:rFonts w:ascii="仿宋_GB2312" w:eastAsia="仿宋_GB2312"/>
          <w:b w:val="0"/>
          <w:sz w:val="32"/>
          <w:szCs w:val="32"/>
        </w:rPr>
        <w:t>管理制度的健全，规则标准制定的合理。领导机构的健全，领导的重视，明确的责任。绩效评价工作是一个全新的课题，得到了单位领导的高度关注，财务科作为经费管理部门负责绩效评价全面工作，各科室作为项目执行科室，全面配合绩效评价工作的开展，实现绩效评价的常态化、规范化、制度化，有力推动绩效管理评价工作的顺利开展</w:t>
      </w:r>
      <w:r>
        <w:rPr>
          <w:rFonts w:hint="eastAsia" w:ascii="仿宋_GB2312" w:eastAsia="仿宋_GB2312"/>
          <w:b w:val="0"/>
          <w:sz w:val="32"/>
          <w:szCs w:val="32"/>
          <w:lang w:val="en-US" w:eastAsia="zh-CN"/>
        </w:rPr>
        <w:t>三是</w:t>
      </w:r>
      <w:r>
        <w:rPr>
          <w:rFonts w:ascii="仿宋_GB2312" w:eastAsia="仿宋_GB2312"/>
          <w:b w:val="0"/>
          <w:sz w:val="32"/>
          <w:szCs w:val="32"/>
        </w:rPr>
        <w:t>认真谋划，科学论证，设立合理评价指标体系。为顺利完成绩效评价工作，结合我单位整体支出绩效目标、实现单位整体支出绩效目标的主要工作措施、项目目标、工作内容及特点，提出符合实际，且能反映单位整体支出绩效目标和主要措施的可量化、可衡量的绩效指标。精心组织，及时反馈，确保绩效评价取得实效</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四是</w:t>
      </w:r>
      <w:r>
        <w:rPr>
          <w:rFonts w:ascii="仿宋_GB2312" w:eastAsia="仿宋_GB2312"/>
          <w:b w:val="0"/>
          <w:sz w:val="32"/>
          <w:szCs w:val="32"/>
        </w:rPr>
        <w:t>重视日常财务收支管理工作。收支管理是一个单位财务管理工作的重中之重，为加强收支管理，对一切开支严格按财务制度办理，并做好每月的预算及预算执行情况，按财政过紧日子的要求，既保障了我单位系列工作的顺利开展，又使各项收支的安排使用符合工作的发展计划和财政政策的要求，提高资金的使用效益，达到节约支出过紧日子的的目的。加强资金的使用效率，为厅机关做好后勤服务保障工作</w:t>
      </w:r>
      <w:r>
        <w:rPr>
          <w:rFonts w:hint="eastAsia" w:ascii="仿宋_GB2312" w:eastAsia="仿宋_GB2312"/>
          <w:b w:val="0"/>
          <w:sz w:val="32"/>
          <w:szCs w:val="32"/>
          <w:lang w:eastAsia="zh-CN"/>
        </w:rPr>
        <w:t>。</w:t>
      </w:r>
      <w:r>
        <w:rPr>
          <w:rFonts w:ascii="仿宋_GB2312" w:eastAsia="仿宋_GB2312"/>
          <w:b w:val="0"/>
          <w:sz w:val="32"/>
          <w:szCs w:val="32"/>
        </w:rPr>
        <w:t>发现的问题及原因：</w:t>
      </w:r>
      <w:r>
        <w:rPr>
          <w:rFonts w:hint="eastAsia" w:ascii="仿宋_GB2312" w:hAnsi="宋体" w:eastAsia="仿宋_GB2312" w:cs="宋体"/>
          <w:color w:val="auto"/>
          <w:kern w:val="0"/>
          <w:sz w:val="32"/>
          <w:szCs w:val="32"/>
          <w:lang w:val="en-US" w:eastAsia="zh-CN"/>
        </w:rPr>
        <w:t>一是对绩效目标偏差问题缺乏有效分析，从而导致填报的内容相对简单。二是在部门整体支出的资金安排和使用上仍有不可预见性，在经费支出科学化精细化管理上还有待加强</w:t>
      </w:r>
      <w:r>
        <w:rPr>
          <w:rFonts w:ascii="仿宋_GB2312" w:eastAsia="仿宋_GB2312"/>
          <w:b w:val="0"/>
          <w:sz w:val="32"/>
          <w:szCs w:val="32"/>
        </w:rPr>
        <w:t>。下一步改</w:t>
      </w:r>
      <w:bookmarkStart w:id="2" w:name="_GoBack"/>
      <w:bookmarkEnd w:id="2"/>
      <w:r>
        <w:rPr>
          <w:rFonts w:ascii="仿宋_GB2312" w:eastAsia="仿宋_GB2312"/>
          <w:b w:val="0"/>
          <w:sz w:val="32"/>
          <w:szCs w:val="32"/>
        </w:rPr>
        <w:t>进措施：</w:t>
      </w:r>
      <w:r>
        <w:rPr>
          <w:rFonts w:hint="eastAsia" w:ascii="仿宋_GB2312" w:eastAsia="仿宋_GB2312"/>
          <w:sz w:val="32"/>
          <w:szCs w:val="32"/>
        </w:rPr>
        <w:t>一是总结本年度项目管理、组织实施、资金管理等方面的不足，完善绩效管理方法，提高绩效管理水平，为下一年度项目计划和开展提供工作经验；二是一步提高部门预算基本支出的财政保障水平。</w:t>
      </w:r>
      <w:r>
        <w:rPr>
          <w:rFonts w:hint="eastAsia" w:ascii="仿宋_GB2312" w:eastAsia="仿宋_GB2312"/>
          <w:sz w:val="32"/>
          <w:szCs w:val="32"/>
          <w:lang w:val="en-US" w:eastAsia="zh-CN"/>
        </w:rPr>
        <w:t>我单位</w:t>
      </w:r>
      <w:r>
        <w:rPr>
          <w:rFonts w:hint="eastAsia" w:ascii="仿宋_GB2312" w:eastAsia="仿宋_GB2312"/>
          <w:sz w:val="32"/>
          <w:szCs w:val="32"/>
        </w:rPr>
        <w:t>将按照自治区财政项目支出绩效监控的工作要求，围绕绩效目标，加大对资金使用的监控力度，不断健全完善绩效目标指标体系，做到可量化、可考核，及时校正偏差，提高预算资金执行率。根据项目开展情况，提升各项目管理能力。</w:t>
      </w:r>
      <w:r>
        <w:rPr>
          <w:rFonts w:ascii="仿宋_GB2312" w:eastAsia="仿宋_GB2312"/>
          <w:b w:val="0"/>
          <w:sz w:val="32"/>
          <w:szCs w:val="32"/>
        </w:rPr>
        <w:t>具体附项目支出绩效自评表。</w:t>
      </w:r>
    </w:p>
    <w:p w14:paraId="6F8953B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2BC78A9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本单位无其他需说明的事项。</w:t>
      </w:r>
    </w:p>
    <w:p w14:paraId="438C12A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rPr>
          <w:rFonts w:ascii="仿宋_GB2312" w:eastAsia="仿宋_GB2312"/>
          <w:sz w:val="32"/>
          <w:szCs w:val="32"/>
        </w:rPr>
      </w:pPr>
    </w:p>
    <w:p w14:paraId="0D4373E9">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14:paraId="040D7C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center"/>
        <w:textAlignment w:val="auto"/>
        <w:outlineLvl w:val="0"/>
        <w:rPr>
          <w:rFonts w:ascii="黑体" w:eastAsia="黑体"/>
          <w:sz w:val="32"/>
          <w:szCs w:val="32"/>
        </w:rPr>
      </w:pPr>
      <w:r>
        <w:rPr>
          <w:rFonts w:ascii="黑体" w:eastAsia="黑体"/>
          <w:b w:val="0"/>
          <w:sz w:val="32"/>
          <w:szCs w:val="32"/>
        </w:rPr>
        <w:t>第三部分 专业名词解释</w:t>
      </w:r>
    </w:p>
    <w:p w14:paraId="4D9D7E7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F00C9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6CD593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9F424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33DC74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3430D0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3A57E0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56C7E07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3AE0A69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28E7B40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9135AD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26AC511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274AD35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7793692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1C8DA0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30C792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115041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3" w:firstLineChars="200"/>
        <w:jc w:val="left"/>
        <w:textAlignment w:val="auto"/>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563D036">
      <w:pPr>
        <w:keepNext w:val="0"/>
        <w:keepLines w:val="0"/>
        <w:pageBreakBefore w:val="0"/>
        <w:widowControl/>
        <w:kinsoku/>
        <w:wordWrap/>
        <w:overflowPunct/>
        <w:topLinePunct w:val="0"/>
        <w:autoSpaceDE/>
        <w:autoSpaceDN/>
        <w:bidi w:val="0"/>
        <w:adjustRightInd/>
        <w:snapToGrid/>
        <w:spacing w:line="560" w:lineRule="atLeast"/>
        <w:textAlignment w:val="auto"/>
      </w:pPr>
      <w:r>
        <w:rPr>
          <w:b w:val="0"/>
          <w:sz w:val="0"/>
          <w:szCs w:val="0"/>
        </w:rPr>
        <w:br w:type="page"/>
      </w:r>
    </w:p>
    <w:p w14:paraId="451EFA9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jc w:val="center"/>
        <w:textAlignment w:val="auto"/>
        <w:outlineLvl w:val="0"/>
        <w:rPr>
          <w:rFonts w:ascii="黑体" w:eastAsia="黑体"/>
          <w:sz w:val="32"/>
          <w:szCs w:val="32"/>
        </w:rPr>
      </w:pPr>
      <w:r>
        <w:rPr>
          <w:rFonts w:ascii="黑体" w:eastAsia="黑体"/>
          <w:b w:val="0"/>
          <w:sz w:val="32"/>
          <w:szCs w:val="32"/>
        </w:rPr>
        <w:t>第四部分 部门决算报表（见附表）</w:t>
      </w:r>
    </w:p>
    <w:p w14:paraId="582836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5EECC66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7FD2000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1F64452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14C9FC0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3A4BA6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98982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6510F6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90501B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atLeas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6C02F0-B0E6-42DC-ABF2-0DA2DC163F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F422E72-FF0D-47ED-B29D-AFD970B5D7FE}"/>
  </w:font>
  <w:font w:name="仿宋_GB2312">
    <w:panose1 w:val="02010609030101010101"/>
    <w:charset w:val="86"/>
    <w:family w:val="auto"/>
    <w:pitch w:val="default"/>
    <w:sig w:usb0="00000001" w:usb1="080E0000" w:usb2="00000000" w:usb3="00000000" w:csb0="00040000" w:csb1="00000000"/>
    <w:embedRegular r:id="rId3" w:fontKey="{AE5CFB57-BD2A-4A8E-BCBD-F16D341F416C}"/>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4" w:fontKey="{208FD734-2741-44E8-B928-A6F4910F81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6BB7">
    <w:pPr>
      <w:spacing w:line="266" w:lineRule="exact"/>
      <w:ind w:left="4743"/>
      <w:rPr>
        <w:rFonts w:ascii="Calibri" w:hAnsi="Calibri" w:eastAsia="Calibri" w:cs="Calibri"/>
        <w:sz w:val="18"/>
        <w:szCs w:val="18"/>
      </w:rPr>
    </w:pPr>
    <w:r>
      <w:rPr>
        <w:rFonts w:ascii="Calibri" w:hAnsi="Calibri" w:eastAsia="Calibri" w:cs="Calibri"/>
        <w:position w:val="2"/>
        <w:sz w:val="18"/>
        <w:szCs w:val="18"/>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EC579F"/>
    <w:multiLevelType w:val="singleLevel"/>
    <w:tmpl w:val="6DEC579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B48FA"/>
    <w:rsid w:val="14A649E0"/>
    <w:rsid w:val="19445F5F"/>
    <w:rsid w:val="20C4005A"/>
    <w:rsid w:val="21150100"/>
    <w:rsid w:val="21BF4CC5"/>
    <w:rsid w:val="23812232"/>
    <w:rsid w:val="24D1451D"/>
    <w:rsid w:val="2A7740BB"/>
    <w:rsid w:val="2ABC7FF4"/>
    <w:rsid w:val="35DB7EC8"/>
    <w:rsid w:val="390C3DAE"/>
    <w:rsid w:val="47AE390E"/>
    <w:rsid w:val="493D634C"/>
    <w:rsid w:val="52121413"/>
    <w:rsid w:val="538B5FE7"/>
    <w:rsid w:val="55DC2AD0"/>
    <w:rsid w:val="583F79EB"/>
    <w:rsid w:val="5D72616D"/>
    <w:rsid w:val="66A852F5"/>
    <w:rsid w:val="7072622A"/>
    <w:rsid w:val="744321B9"/>
    <w:rsid w:val="7CEF0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Body Text"/>
    <w:basedOn w:val="1"/>
    <w:semiHidden/>
    <w:qFormat/>
    <w:uiPriority w:val="0"/>
    <w:rPr>
      <w:rFonts w:ascii="仿宋" w:hAnsi="仿宋" w:eastAsia="仿宋" w:cs="仿宋"/>
      <w:sz w:val="28"/>
      <w:szCs w:val="28"/>
      <w:lang w:val="en-US" w:eastAsia="en-US" w:bidi="ar-SA"/>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7584</Words>
  <Characters>8406</Characters>
  <TotalTime>0</TotalTime>
  <ScaleCrop>false</ScaleCrop>
  <LinksUpToDate>false</LinksUpToDate>
  <CharactersWithSpaces>8433</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2026-08-12T09:15:00Z</dcterms:created>
  <dc:creator>Administrator</dc:creator>
  <cp:lastModifiedBy>蹁跹</cp:lastModifiedBy>
  <dcterms:modified xsi:type="dcterms:W3CDTF">2026-08-21T10:19:29Z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5A4F9E123E244371B60E68B4B40DC24C_13</vt:lpwstr>
  </property>
  <property fmtid="{D5CDD505-2E9C-101B-9397-08002B2CF9AE}" pid="4" name="KSOTemplateDocerSaveRecord">
    <vt:lpwstr>eyJoZGlkIjoiNTBiYjFiYzY0OWM2ODlhYjA1NDAwODJkOGMwZGNkYTMiLCJ1c2VySWQiOiIxMTU3MzgyOTA5In0=</vt:lpwstr>
  </property>
</Properties>
</file>