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C29839">
      <w:pPr>
        <w:widowControl/>
        <w:jc w:val="left"/>
        <w:rPr>
          <w:rFonts w:ascii="宋体" w:eastAsia="宋体"/>
          <w:sz w:val="32"/>
          <w:szCs w:val="32"/>
        </w:rPr>
      </w:pPr>
    </w:p>
    <w:p w14:paraId="76413F37">
      <w:pPr>
        <w:widowControl/>
        <w:jc w:val="left"/>
        <w:rPr>
          <w:rFonts w:ascii="宋体" w:eastAsia="宋体"/>
          <w:sz w:val="44"/>
          <w:szCs w:val="44"/>
        </w:rPr>
      </w:pPr>
    </w:p>
    <w:p w14:paraId="381C1402">
      <w:pPr>
        <w:widowControl/>
        <w:jc w:val="left"/>
        <w:rPr>
          <w:rFonts w:ascii="宋体" w:eastAsia="宋体"/>
          <w:sz w:val="44"/>
          <w:szCs w:val="44"/>
        </w:rPr>
      </w:pPr>
    </w:p>
    <w:p w14:paraId="64BBDABD">
      <w:pPr>
        <w:widowControl/>
        <w:jc w:val="left"/>
        <w:rPr>
          <w:rFonts w:ascii="宋体" w:eastAsia="宋体"/>
          <w:sz w:val="44"/>
          <w:szCs w:val="44"/>
        </w:rPr>
      </w:pPr>
    </w:p>
    <w:p w14:paraId="13FA1B7A">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cs="Times New Roman"/>
          <w:kern w:val="2"/>
          <w:sz w:val="44"/>
          <w:szCs w:val="44"/>
          <w:highlight w:val="none"/>
          <w:lang w:eastAsia="zh-CN"/>
        </w:rPr>
      </w:pPr>
      <w:r>
        <w:rPr>
          <w:rFonts w:hint="eastAsia" w:ascii="方正小标宋_GBK" w:hAnsi="宋体" w:eastAsia="方正小标宋_GBK" w:cs="Times New Roman"/>
          <w:kern w:val="2"/>
          <w:sz w:val="44"/>
          <w:szCs w:val="44"/>
          <w:highlight w:val="none"/>
          <w:lang w:eastAsia="zh-CN"/>
        </w:rPr>
        <w:t>新疆维吾尔自治区地质成果中心</w:t>
      </w:r>
    </w:p>
    <w:p w14:paraId="23B2D25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cs="Times New Roman"/>
          <w:kern w:val="2"/>
          <w:sz w:val="44"/>
          <w:szCs w:val="44"/>
          <w:highlight w:val="none"/>
          <w:lang w:eastAsia="zh-CN"/>
        </w:rPr>
      </w:pPr>
      <w:r>
        <w:rPr>
          <w:rFonts w:hint="eastAsia" w:ascii="方正小标宋_GBK" w:hAnsi="宋体" w:eastAsia="方正小标宋_GBK" w:cs="Times New Roman"/>
          <w:kern w:val="2"/>
          <w:sz w:val="44"/>
          <w:szCs w:val="44"/>
          <w:highlight w:val="none"/>
          <w:lang w:eastAsia="zh-CN"/>
        </w:rPr>
        <w:t>2025年度部门决算公开说明</w:t>
      </w:r>
    </w:p>
    <w:p w14:paraId="513718B2">
      <w:pPr>
        <w:widowControl/>
      </w:pPr>
      <w:r>
        <w:rPr>
          <w:sz w:val="0"/>
          <w:szCs w:val="0"/>
        </w:rPr>
        <w:br w:type="page"/>
      </w:r>
    </w:p>
    <w:p w14:paraId="054BC6B7">
      <w:pPr>
        <w:widowControl/>
        <w:jc w:val="center"/>
        <w:rPr>
          <w:rFonts w:ascii="黑体" w:eastAsia="黑体"/>
          <w:sz w:val="32"/>
          <w:szCs w:val="32"/>
        </w:rPr>
      </w:pPr>
      <w:r>
        <w:rPr>
          <w:rFonts w:ascii="黑体" w:eastAsia="黑体"/>
          <w:b/>
          <w:sz w:val="32"/>
          <w:szCs w:val="32"/>
        </w:rPr>
        <w:t>目 录</w:t>
      </w:r>
    </w:p>
    <w:p w14:paraId="56704CBB">
      <w:pPr>
        <w:widowControl/>
        <w:jc w:val="left"/>
        <w:rPr>
          <w:rFonts w:ascii="仿宋_GB2312" w:eastAsia="仿宋_GB2312"/>
          <w:sz w:val="32"/>
          <w:szCs w:val="32"/>
        </w:rPr>
      </w:pPr>
      <w:r>
        <w:rPr>
          <w:rFonts w:ascii="仿宋_GB2312" w:eastAsia="仿宋_GB2312"/>
          <w:b/>
          <w:sz w:val="32"/>
          <w:szCs w:val="32"/>
        </w:rPr>
        <w:t>第一部分单位概况</w:t>
      </w:r>
    </w:p>
    <w:p w14:paraId="7F3C20AA">
      <w:pPr>
        <w:widowControl/>
        <w:jc w:val="left"/>
        <w:rPr>
          <w:rFonts w:ascii="仿宋_GB2312" w:eastAsia="仿宋_GB2312"/>
          <w:sz w:val="32"/>
          <w:szCs w:val="32"/>
        </w:rPr>
      </w:pPr>
      <w:r>
        <w:rPr>
          <w:rFonts w:ascii="仿宋_GB2312" w:eastAsia="仿宋_GB2312"/>
          <w:sz w:val="32"/>
          <w:szCs w:val="32"/>
        </w:rPr>
        <w:t>一、主要职能</w:t>
      </w:r>
    </w:p>
    <w:p w14:paraId="6F4C06F3">
      <w:pPr>
        <w:widowControl/>
        <w:jc w:val="left"/>
        <w:rPr>
          <w:rFonts w:ascii="仿宋_GB2312" w:eastAsia="仿宋_GB2312"/>
          <w:sz w:val="32"/>
          <w:szCs w:val="32"/>
        </w:rPr>
      </w:pPr>
      <w:r>
        <w:rPr>
          <w:rFonts w:ascii="仿宋_GB2312" w:eastAsia="仿宋_GB2312"/>
          <w:sz w:val="32"/>
          <w:szCs w:val="32"/>
        </w:rPr>
        <w:t>二、机构设置</w:t>
      </w:r>
    </w:p>
    <w:p w14:paraId="57F81BC8">
      <w:pPr>
        <w:widowControl/>
        <w:jc w:val="left"/>
        <w:rPr>
          <w:rFonts w:ascii="仿宋_GB2312" w:eastAsia="仿宋_GB2312"/>
          <w:sz w:val="32"/>
          <w:szCs w:val="32"/>
        </w:rPr>
      </w:pPr>
      <w:r>
        <w:rPr>
          <w:rFonts w:ascii="仿宋_GB2312" w:eastAsia="仿宋_GB2312"/>
          <w:b/>
          <w:sz w:val="32"/>
          <w:szCs w:val="32"/>
        </w:rPr>
        <w:t>第二部分 部门决算情况说明</w:t>
      </w:r>
    </w:p>
    <w:p w14:paraId="115BE551">
      <w:pPr>
        <w:widowControl/>
        <w:jc w:val="left"/>
        <w:rPr>
          <w:rFonts w:ascii="仿宋_GB2312" w:eastAsia="仿宋_GB2312"/>
          <w:sz w:val="32"/>
          <w:szCs w:val="32"/>
        </w:rPr>
      </w:pPr>
      <w:r>
        <w:rPr>
          <w:rFonts w:ascii="仿宋_GB2312" w:eastAsia="仿宋_GB2312"/>
          <w:sz w:val="32"/>
          <w:szCs w:val="32"/>
        </w:rPr>
        <w:t>一、收入支出决算总体情况说明</w:t>
      </w:r>
    </w:p>
    <w:p w14:paraId="68E76891">
      <w:pPr>
        <w:widowControl/>
        <w:jc w:val="left"/>
        <w:rPr>
          <w:rFonts w:ascii="仿宋_GB2312" w:eastAsia="仿宋_GB2312"/>
          <w:sz w:val="32"/>
          <w:szCs w:val="32"/>
        </w:rPr>
      </w:pPr>
      <w:r>
        <w:rPr>
          <w:rFonts w:ascii="仿宋_GB2312" w:eastAsia="仿宋_GB2312"/>
          <w:sz w:val="32"/>
          <w:szCs w:val="32"/>
        </w:rPr>
        <w:t>二、收入决算情况说明</w:t>
      </w:r>
    </w:p>
    <w:p w14:paraId="152A2D5F">
      <w:pPr>
        <w:widowControl/>
        <w:jc w:val="left"/>
        <w:rPr>
          <w:rFonts w:ascii="仿宋_GB2312" w:eastAsia="仿宋_GB2312"/>
          <w:sz w:val="32"/>
          <w:szCs w:val="32"/>
        </w:rPr>
      </w:pPr>
      <w:r>
        <w:rPr>
          <w:rFonts w:ascii="仿宋_GB2312" w:eastAsia="仿宋_GB2312"/>
          <w:sz w:val="32"/>
          <w:szCs w:val="32"/>
        </w:rPr>
        <w:t>三、支出决算情况说明</w:t>
      </w:r>
    </w:p>
    <w:p w14:paraId="330E50E8">
      <w:pPr>
        <w:widowControl/>
        <w:jc w:val="left"/>
        <w:rPr>
          <w:rFonts w:ascii="仿宋_GB2312" w:eastAsia="仿宋_GB2312"/>
          <w:sz w:val="32"/>
          <w:szCs w:val="32"/>
        </w:rPr>
      </w:pPr>
      <w:r>
        <w:rPr>
          <w:rFonts w:ascii="仿宋_GB2312" w:eastAsia="仿宋_GB2312"/>
          <w:sz w:val="32"/>
          <w:szCs w:val="32"/>
        </w:rPr>
        <w:t>四、财政拨款收入支出决算总体情况说明</w:t>
      </w:r>
    </w:p>
    <w:p w14:paraId="479BC8BC">
      <w:pPr>
        <w:widowControl/>
        <w:jc w:val="left"/>
        <w:rPr>
          <w:rFonts w:ascii="仿宋_GB2312" w:eastAsia="仿宋_GB2312"/>
          <w:sz w:val="32"/>
          <w:szCs w:val="32"/>
        </w:rPr>
      </w:pPr>
      <w:r>
        <w:rPr>
          <w:rFonts w:ascii="仿宋_GB2312" w:eastAsia="仿宋_GB2312"/>
          <w:sz w:val="32"/>
          <w:szCs w:val="32"/>
        </w:rPr>
        <w:t>五、一般公共预算财政拨款支出决算情况说明</w:t>
      </w:r>
    </w:p>
    <w:p w14:paraId="41036928">
      <w:pPr>
        <w:widowControl/>
        <w:jc w:val="left"/>
        <w:rPr>
          <w:rFonts w:ascii="仿宋_GB2312" w:eastAsia="仿宋_GB2312"/>
          <w:sz w:val="32"/>
          <w:szCs w:val="32"/>
        </w:rPr>
      </w:pPr>
      <w:r>
        <w:rPr>
          <w:rFonts w:ascii="仿宋_GB2312" w:eastAsia="仿宋_GB2312"/>
          <w:sz w:val="32"/>
          <w:szCs w:val="32"/>
        </w:rPr>
        <w:t>（一）一般公共预算财政拨款支出决算总体情况</w:t>
      </w:r>
    </w:p>
    <w:p w14:paraId="0FF1DED5">
      <w:pPr>
        <w:widowControl/>
        <w:jc w:val="left"/>
        <w:rPr>
          <w:rFonts w:ascii="仿宋_GB2312" w:eastAsia="仿宋_GB2312"/>
          <w:sz w:val="32"/>
          <w:szCs w:val="32"/>
        </w:rPr>
      </w:pPr>
      <w:r>
        <w:rPr>
          <w:rFonts w:ascii="仿宋_GB2312" w:eastAsia="仿宋_GB2312"/>
          <w:sz w:val="32"/>
          <w:szCs w:val="32"/>
        </w:rPr>
        <w:t>（二）一般公共预算财政拨款支出决算结构情况</w:t>
      </w:r>
    </w:p>
    <w:p w14:paraId="0D893061">
      <w:pPr>
        <w:widowControl/>
        <w:jc w:val="left"/>
        <w:rPr>
          <w:rFonts w:ascii="仿宋_GB2312" w:eastAsia="仿宋_GB2312"/>
          <w:sz w:val="32"/>
          <w:szCs w:val="32"/>
        </w:rPr>
      </w:pPr>
      <w:r>
        <w:rPr>
          <w:rFonts w:ascii="仿宋_GB2312" w:eastAsia="仿宋_GB2312"/>
          <w:sz w:val="32"/>
          <w:szCs w:val="32"/>
        </w:rPr>
        <w:t>（三）一般公共预算财政拨款支出决算具体情况</w:t>
      </w:r>
    </w:p>
    <w:p w14:paraId="46CCC6E4">
      <w:pPr>
        <w:widowControl/>
        <w:jc w:val="left"/>
        <w:rPr>
          <w:rFonts w:ascii="仿宋_GB2312" w:eastAsia="仿宋_GB2312"/>
          <w:sz w:val="32"/>
          <w:szCs w:val="32"/>
        </w:rPr>
      </w:pPr>
      <w:r>
        <w:rPr>
          <w:rFonts w:ascii="仿宋_GB2312" w:eastAsia="仿宋_GB2312"/>
          <w:sz w:val="32"/>
          <w:szCs w:val="32"/>
        </w:rPr>
        <w:t>六、一般公共预算财政拨款基本支出决算情况说明</w:t>
      </w:r>
    </w:p>
    <w:p w14:paraId="23350B65">
      <w:pPr>
        <w:widowControl/>
        <w:jc w:val="left"/>
        <w:rPr>
          <w:rFonts w:ascii="仿宋_GB2312" w:eastAsia="仿宋_GB2312"/>
          <w:sz w:val="32"/>
          <w:szCs w:val="32"/>
        </w:rPr>
      </w:pPr>
      <w:r>
        <w:rPr>
          <w:rFonts w:ascii="仿宋_GB2312" w:eastAsia="仿宋_GB2312"/>
          <w:sz w:val="32"/>
          <w:szCs w:val="32"/>
        </w:rPr>
        <w:t>七、政府性基金预算财政拨款收入支出决算情况说明</w:t>
      </w:r>
    </w:p>
    <w:p w14:paraId="42DC298E">
      <w:pPr>
        <w:widowControl/>
        <w:jc w:val="left"/>
        <w:rPr>
          <w:rFonts w:ascii="仿宋_GB2312" w:eastAsia="仿宋_GB2312"/>
          <w:sz w:val="32"/>
          <w:szCs w:val="32"/>
        </w:rPr>
      </w:pPr>
      <w:r>
        <w:rPr>
          <w:rFonts w:ascii="仿宋_GB2312" w:eastAsia="仿宋_GB2312"/>
          <w:sz w:val="32"/>
          <w:szCs w:val="32"/>
        </w:rPr>
        <w:t>八、国有资本经营预算财政拨款收入支出决算情况说明</w:t>
      </w:r>
    </w:p>
    <w:p w14:paraId="1E12DD82">
      <w:pPr>
        <w:widowControl/>
        <w:jc w:val="left"/>
        <w:rPr>
          <w:rFonts w:ascii="仿宋_GB2312" w:eastAsia="仿宋_GB2312"/>
          <w:sz w:val="32"/>
          <w:szCs w:val="32"/>
        </w:rPr>
      </w:pPr>
      <w:r>
        <w:rPr>
          <w:rFonts w:ascii="仿宋_GB2312" w:eastAsia="仿宋_GB2312"/>
          <w:sz w:val="32"/>
          <w:szCs w:val="32"/>
        </w:rPr>
        <w:t>九、财政拨款“三公”经费支出决算情况说明</w:t>
      </w:r>
    </w:p>
    <w:p w14:paraId="72D2BF6A">
      <w:pPr>
        <w:widowControl/>
        <w:jc w:val="left"/>
        <w:rPr>
          <w:rFonts w:ascii="仿宋_GB2312" w:eastAsia="仿宋_GB2312"/>
          <w:sz w:val="32"/>
          <w:szCs w:val="32"/>
        </w:rPr>
      </w:pPr>
      <w:r>
        <w:rPr>
          <w:rFonts w:ascii="仿宋_GB2312" w:eastAsia="仿宋_GB2312"/>
          <w:sz w:val="32"/>
          <w:szCs w:val="32"/>
        </w:rPr>
        <w:t>十、其他重要事项的情况说明</w:t>
      </w:r>
    </w:p>
    <w:p w14:paraId="3D3B163C">
      <w:pPr>
        <w:widowControl/>
        <w:jc w:val="left"/>
        <w:rPr>
          <w:rFonts w:ascii="仿宋_GB2312" w:eastAsia="仿宋_GB2312"/>
          <w:sz w:val="32"/>
          <w:szCs w:val="32"/>
        </w:rPr>
      </w:pPr>
      <w:r>
        <w:rPr>
          <w:rFonts w:ascii="仿宋_GB2312" w:eastAsia="仿宋_GB2312"/>
          <w:sz w:val="32"/>
          <w:szCs w:val="32"/>
        </w:rPr>
        <w:t>（一）机关运行经费及公用经费支出情况</w:t>
      </w:r>
    </w:p>
    <w:p w14:paraId="468C212F">
      <w:pPr>
        <w:widowControl/>
        <w:jc w:val="left"/>
        <w:rPr>
          <w:rFonts w:ascii="仿宋_GB2312" w:eastAsia="仿宋_GB2312"/>
          <w:sz w:val="32"/>
          <w:szCs w:val="32"/>
        </w:rPr>
      </w:pPr>
      <w:r>
        <w:rPr>
          <w:rFonts w:ascii="仿宋_GB2312" w:eastAsia="仿宋_GB2312"/>
          <w:sz w:val="32"/>
          <w:szCs w:val="32"/>
        </w:rPr>
        <w:t>（二）政府采购情况</w:t>
      </w:r>
    </w:p>
    <w:p w14:paraId="788C379F">
      <w:pPr>
        <w:widowControl/>
        <w:jc w:val="left"/>
        <w:rPr>
          <w:rFonts w:ascii="仿宋_GB2312" w:eastAsia="仿宋_GB2312"/>
          <w:sz w:val="32"/>
          <w:szCs w:val="32"/>
        </w:rPr>
      </w:pPr>
      <w:r>
        <w:rPr>
          <w:rFonts w:ascii="仿宋_GB2312" w:eastAsia="仿宋_GB2312"/>
          <w:sz w:val="32"/>
          <w:szCs w:val="32"/>
        </w:rPr>
        <w:t>（三）国有资产占用情况说明</w:t>
      </w:r>
    </w:p>
    <w:p w14:paraId="5F57AD51">
      <w:pPr>
        <w:widowControl/>
        <w:jc w:val="left"/>
        <w:rPr>
          <w:rFonts w:ascii="仿宋_GB2312" w:eastAsia="仿宋_GB2312"/>
          <w:sz w:val="32"/>
          <w:szCs w:val="32"/>
        </w:rPr>
      </w:pPr>
      <w:r>
        <w:rPr>
          <w:rFonts w:ascii="仿宋_GB2312" w:eastAsia="仿宋_GB2312"/>
          <w:sz w:val="32"/>
          <w:szCs w:val="32"/>
        </w:rPr>
        <w:t>十一、预算绩效的情况说明</w:t>
      </w:r>
    </w:p>
    <w:p w14:paraId="4EF6FD53">
      <w:pPr>
        <w:widowControl/>
        <w:jc w:val="left"/>
        <w:rPr>
          <w:rFonts w:ascii="仿宋_GB2312" w:eastAsia="仿宋_GB2312"/>
          <w:sz w:val="32"/>
          <w:szCs w:val="32"/>
        </w:rPr>
      </w:pPr>
      <w:r>
        <w:rPr>
          <w:rFonts w:ascii="仿宋_GB2312" w:eastAsia="仿宋_GB2312"/>
          <w:sz w:val="32"/>
          <w:szCs w:val="32"/>
        </w:rPr>
        <w:t>十二、其他需说明的事项</w:t>
      </w:r>
    </w:p>
    <w:p w14:paraId="56DC98E5">
      <w:pPr>
        <w:widowControl/>
        <w:jc w:val="left"/>
        <w:rPr>
          <w:rFonts w:ascii="仿宋_GB2312" w:eastAsia="仿宋_GB2312"/>
          <w:sz w:val="32"/>
          <w:szCs w:val="32"/>
        </w:rPr>
      </w:pPr>
      <w:r>
        <w:rPr>
          <w:rFonts w:ascii="仿宋_GB2312" w:eastAsia="仿宋_GB2312"/>
          <w:b/>
          <w:sz w:val="32"/>
          <w:szCs w:val="32"/>
        </w:rPr>
        <w:t>第三部分 专业名词解释</w:t>
      </w:r>
    </w:p>
    <w:p w14:paraId="1BC3D5A1">
      <w:pPr>
        <w:widowControl/>
        <w:jc w:val="left"/>
        <w:rPr>
          <w:rFonts w:ascii="仿宋_GB2312" w:eastAsia="仿宋_GB2312"/>
          <w:sz w:val="32"/>
          <w:szCs w:val="32"/>
        </w:rPr>
      </w:pPr>
      <w:r>
        <w:rPr>
          <w:rFonts w:ascii="仿宋_GB2312" w:eastAsia="仿宋_GB2312"/>
          <w:b/>
          <w:sz w:val="32"/>
          <w:szCs w:val="32"/>
        </w:rPr>
        <w:t>第四部分 部门决算报表（见附表）</w:t>
      </w:r>
    </w:p>
    <w:p w14:paraId="05230678">
      <w:pPr>
        <w:widowControl/>
        <w:jc w:val="left"/>
        <w:rPr>
          <w:rFonts w:ascii="仿宋_GB2312" w:eastAsia="仿宋_GB2312"/>
          <w:sz w:val="32"/>
          <w:szCs w:val="32"/>
        </w:rPr>
      </w:pPr>
      <w:r>
        <w:rPr>
          <w:rFonts w:ascii="仿宋_GB2312" w:eastAsia="仿宋_GB2312"/>
          <w:sz w:val="32"/>
          <w:szCs w:val="32"/>
        </w:rPr>
        <w:t>一、《收入支出决算总表》</w:t>
      </w:r>
    </w:p>
    <w:p w14:paraId="3532B671">
      <w:pPr>
        <w:widowControl/>
        <w:jc w:val="left"/>
        <w:rPr>
          <w:rFonts w:ascii="仿宋_GB2312" w:eastAsia="仿宋_GB2312"/>
          <w:sz w:val="32"/>
          <w:szCs w:val="32"/>
        </w:rPr>
      </w:pPr>
      <w:r>
        <w:rPr>
          <w:rFonts w:ascii="仿宋_GB2312" w:eastAsia="仿宋_GB2312"/>
          <w:sz w:val="32"/>
          <w:szCs w:val="32"/>
        </w:rPr>
        <w:t>二、《收入决算表》</w:t>
      </w:r>
    </w:p>
    <w:p w14:paraId="1F3BFAC4">
      <w:pPr>
        <w:widowControl/>
        <w:jc w:val="left"/>
        <w:rPr>
          <w:rFonts w:ascii="仿宋_GB2312" w:eastAsia="仿宋_GB2312"/>
          <w:sz w:val="32"/>
          <w:szCs w:val="32"/>
        </w:rPr>
      </w:pPr>
      <w:r>
        <w:rPr>
          <w:rFonts w:ascii="仿宋_GB2312" w:eastAsia="仿宋_GB2312"/>
          <w:sz w:val="32"/>
          <w:szCs w:val="32"/>
        </w:rPr>
        <w:t>三、《支出决算表》</w:t>
      </w:r>
    </w:p>
    <w:p w14:paraId="7F7FC228">
      <w:pPr>
        <w:widowControl/>
        <w:jc w:val="left"/>
        <w:rPr>
          <w:rFonts w:ascii="仿宋_GB2312" w:eastAsia="仿宋_GB2312"/>
          <w:sz w:val="32"/>
          <w:szCs w:val="32"/>
        </w:rPr>
      </w:pPr>
      <w:r>
        <w:rPr>
          <w:rFonts w:ascii="仿宋_GB2312" w:eastAsia="仿宋_GB2312"/>
          <w:sz w:val="32"/>
          <w:szCs w:val="32"/>
        </w:rPr>
        <w:t>四、《财政拨款收入支出决算总表》</w:t>
      </w:r>
    </w:p>
    <w:p w14:paraId="2B88D333">
      <w:pPr>
        <w:widowControl/>
        <w:jc w:val="left"/>
        <w:rPr>
          <w:rFonts w:ascii="仿宋_GB2312" w:eastAsia="仿宋_GB2312"/>
          <w:sz w:val="32"/>
          <w:szCs w:val="32"/>
        </w:rPr>
      </w:pPr>
      <w:r>
        <w:rPr>
          <w:rFonts w:ascii="仿宋_GB2312" w:eastAsia="仿宋_GB2312"/>
          <w:sz w:val="32"/>
          <w:szCs w:val="32"/>
        </w:rPr>
        <w:t>五、《一般公共预算财政拨款支出决算表》</w:t>
      </w:r>
    </w:p>
    <w:p w14:paraId="587C3A25">
      <w:pPr>
        <w:widowControl/>
        <w:jc w:val="left"/>
        <w:rPr>
          <w:rFonts w:ascii="仿宋_GB2312" w:eastAsia="仿宋_GB2312"/>
          <w:sz w:val="32"/>
          <w:szCs w:val="32"/>
        </w:rPr>
      </w:pPr>
      <w:r>
        <w:rPr>
          <w:rFonts w:ascii="仿宋_GB2312" w:eastAsia="仿宋_GB2312"/>
          <w:sz w:val="32"/>
          <w:szCs w:val="32"/>
        </w:rPr>
        <w:t>六、《一般公共预算财政拨款基本支出决算表》</w:t>
      </w:r>
    </w:p>
    <w:p w14:paraId="58FB43FB">
      <w:pPr>
        <w:widowControl/>
        <w:jc w:val="left"/>
        <w:rPr>
          <w:rFonts w:ascii="仿宋_GB2312" w:eastAsia="仿宋_GB2312"/>
          <w:sz w:val="32"/>
          <w:szCs w:val="32"/>
        </w:rPr>
      </w:pPr>
      <w:r>
        <w:rPr>
          <w:rFonts w:ascii="仿宋_GB2312" w:eastAsia="仿宋_GB2312"/>
          <w:sz w:val="32"/>
          <w:szCs w:val="32"/>
        </w:rPr>
        <w:t>七、《政府性基金预算财政拨款收入支出决算表》</w:t>
      </w:r>
    </w:p>
    <w:p w14:paraId="27ACE2FE">
      <w:pPr>
        <w:widowControl/>
        <w:jc w:val="left"/>
        <w:rPr>
          <w:rFonts w:ascii="仿宋_GB2312" w:eastAsia="仿宋_GB2312"/>
          <w:sz w:val="32"/>
          <w:szCs w:val="32"/>
        </w:rPr>
      </w:pPr>
      <w:r>
        <w:rPr>
          <w:rFonts w:ascii="仿宋_GB2312" w:eastAsia="仿宋_GB2312"/>
          <w:sz w:val="32"/>
          <w:szCs w:val="32"/>
        </w:rPr>
        <w:t>八、《国有资本经营预算财政拨款收入支出决算表》</w:t>
      </w:r>
    </w:p>
    <w:p w14:paraId="725D32AB">
      <w:pPr>
        <w:widowControl/>
        <w:jc w:val="left"/>
        <w:rPr>
          <w:rFonts w:ascii="仿宋_GB2312" w:eastAsia="仿宋_GB2312"/>
          <w:sz w:val="32"/>
          <w:szCs w:val="32"/>
        </w:rPr>
      </w:pPr>
      <w:r>
        <w:rPr>
          <w:rFonts w:ascii="仿宋_GB2312" w:eastAsia="仿宋_GB2312"/>
          <w:sz w:val="32"/>
          <w:szCs w:val="32"/>
        </w:rPr>
        <w:t>九、《财政拨款“三公”经费支出决算表》</w:t>
      </w:r>
    </w:p>
    <w:p w14:paraId="7CD190FC">
      <w:pPr>
        <w:widowControl/>
      </w:pPr>
      <w:r>
        <w:rPr>
          <w:sz w:val="0"/>
          <w:szCs w:val="0"/>
        </w:rPr>
        <w:br w:type="page"/>
      </w:r>
    </w:p>
    <w:p w14:paraId="46DCD6C3">
      <w:pPr>
        <w:widowControl/>
        <w:jc w:val="center"/>
        <w:outlineLvl w:val="0"/>
        <w:rPr>
          <w:rFonts w:ascii="黑体" w:eastAsia="黑体"/>
          <w:sz w:val="32"/>
          <w:szCs w:val="32"/>
        </w:rPr>
      </w:pPr>
      <w:r>
        <w:rPr>
          <w:rFonts w:ascii="黑体" w:eastAsia="黑体"/>
          <w:sz w:val="32"/>
          <w:szCs w:val="32"/>
        </w:rPr>
        <w:t>第一部分单位概况</w:t>
      </w:r>
    </w:p>
    <w:p w14:paraId="2F34DFA4">
      <w:pPr>
        <w:widowControl/>
        <w:ind w:firstLine="640" w:firstLineChars="200"/>
        <w:jc w:val="left"/>
        <w:outlineLvl w:val="1"/>
        <w:rPr>
          <w:rFonts w:ascii="黑体" w:eastAsia="黑体"/>
          <w:sz w:val="32"/>
          <w:szCs w:val="32"/>
        </w:rPr>
      </w:pPr>
      <w:r>
        <w:rPr>
          <w:rFonts w:ascii="黑体" w:eastAsia="黑体"/>
          <w:sz w:val="32"/>
          <w:szCs w:val="32"/>
        </w:rPr>
        <w:t>一、主要职能</w:t>
      </w:r>
    </w:p>
    <w:p w14:paraId="026F55D6">
      <w:pPr>
        <w:widowControl/>
        <w:ind w:firstLine="640" w:firstLineChars="200"/>
        <w:rPr>
          <w:rFonts w:hint="eastAsia" w:ascii="仿宋_GB2312" w:eastAsia="仿宋_GB2312"/>
          <w:sz w:val="32"/>
          <w:szCs w:val="32"/>
        </w:rPr>
      </w:pPr>
      <w:r>
        <w:rPr>
          <w:rFonts w:ascii="仿宋_GB2312" w:eastAsia="仿宋_GB2312"/>
          <w:sz w:val="32"/>
          <w:szCs w:val="32"/>
        </w:rPr>
        <w:t>新疆维吾尔自治区地质成果中心是自治区自然资源厅直属事业单位，主要职责任务是：</w:t>
      </w:r>
    </w:p>
    <w:p w14:paraId="0B778EA5">
      <w:pPr>
        <w:widowControl/>
        <w:ind w:firstLine="640" w:firstLineChars="200"/>
        <w:rPr>
          <w:rFonts w:hint="eastAsia" w:ascii="仿宋_GB2312" w:eastAsia="仿宋_GB2312"/>
          <w:sz w:val="32"/>
          <w:szCs w:val="32"/>
        </w:rPr>
      </w:pPr>
      <w:r>
        <w:rPr>
          <w:rFonts w:ascii="仿宋_GB2312" w:eastAsia="仿宋_GB2312"/>
          <w:sz w:val="32"/>
          <w:szCs w:val="32"/>
        </w:rPr>
        <w:t>(一）承担自治区发证权限矿产资源储量评审，对地(州、市）矿产资源储量评审开展质量监督指导。</w:t>
      </w:r>
    </w:p>
    <w:p w14:paraId="7DD2BDEC">
      <w:pPr>
        <w:widowControl/>
        <w:ind w:firstLine="640" w:firstLineChars="200"/>
        <w:rPr>
          <w:rFonts w:hint="eastAsia" w:ascii="仿宋_GB2312" w:eastAsia="仿宋_GB2312"/>
          <w:sz w:val="32"/>
          <w:szCs w:val="32"/>
        </w:rPr>
      </w:pPr>
      <w:r>
        <w:rPr>
          <w:rFonts w:ascii="仿宋_GB2312" w:eastAsia="仿宋_GB2312"/>
          <w:sz w:val="32"/>
          <w:szCs w:val="32"/>
        </w:rPr>
        <w:t>(二）承担全区矿产地质二次研究与开发；开展矿产资源潜力评价；开展勘查成果筛选、论证和评估，建立矿业权出让项目库，研究提出出让计划建议；开展勘查区块推介等工作。</w:t>
      </w:r>
    </w:p>
    <w:p w14:paraId="76ED7D76">
      <w:pPr>
        <w:widowControl/>
        <w:ind w:firstLine="640" w:firstLineChars="200"/>
        <w:rPr>
          <w:rFonts w:hint="eastAsia" w:ascii="仿宋_GB2312" w:eastAsia="仿宋_GB2312"/>
          <w:sz w:val="32"/>
          <w:szCs w:val="32"/>
        </w:rPr>
      </w:pPr>
      <w:r>
        <w:rPr>
          <w:rFonts w:ascii="仿宋_GB2312" w:eastAsia="仿宋_GB2312"/>
          <w:sz w:val="32"/>
          <w:szCs w:val="32"/>
        </w:rPr>
        <w:t>(三）承担自治区发证权限矿产资源勘查实施方案、矿产资源开发利用与生态保护修复方案评审，开展地质矿产勘査开发技术咨询。</w:t>
      </w:r>
    </w:p>
    <w:p w14:paraId="0DE77258">
      <w:pPr>
        <w:widowControl/>
        <w:ind w:firstLine="640" w:firstLineChars="200"/>
        <w:rPr>
          <w:rFonts w:hint="eastAsia" w:ascii="仿宋_GB2312" w:eastAsia="仿宋_GB2312"/>
          <w:sz w:val="32"/>
          <w:szCs w:val="32"/>
        </w:rPr>
      </w:pPr>
      <w:r>
        <w:rPr>
          <w:rFonts w:ascii="仿宋_GB2312" w:eastAsia="仿宋_GB2312"/>
          <w:sz w:val="32"/>
          <w:szCs w:val="32"/>
        </w:rPr>
        <w:t>(四）承担自治区发证权限矿业权报件审查；组织开展矿业权评估、出让收益测算等工作。</w:t>
      </w:r>
    </w:p>
    <w:p w14:paraId="2B09F123">
      <w:pPr>
        <w:widowControl/>
        <w:ind w:firstLine="640" w:firstLineChars="200"/>
        <w:rPr>
          <w:rFonts w:hint="eastAsia" w:ascii="仿宋_GB2312" w:eastAsia="仿宋_GB2312"/>
          <w:sz w:val="32"/>
          <w:szCs w:val="32"/>
        </w:rPr>
      </w:pPr>
      <w:r>
        <w:rPr>
          <w:rFonts w:ascii="仿宋_GB2312" w:eastAsia="仿宋_GB2312"/>
          <w:sz w:val="32"/>
          <w:szCs w:val="32"/>
        </w:rPr>
        <w:t>(五）开展矿产资源市场监测、区内外供需形势分析和矿业权市场研究等技术工作；配合开展矿产资源市场化配置督查工作。</w:t>
      </w:r>
    </w:p>
    <w:p w14:paraId="12065874">
      <w:pPr>
        <w:widowControl/>
        <w:ind w:firstLine="640" w:firstLineChars="200"/>
        <w:rPr>
          <w:rFonts w:ascii="仿宋_GB2312" w:eastAsia="仿宋_GB2312"/>
          <w:sz w:val="32"/>
          <w:szCs w:val="32"/>
        </w:rPr>
      </w:pPr>
      <w:r>
        <w:rPr>
          <w:rFonts w:ascii="仿宋_GB2312" w:eastAsia="仿宋_GB2312"/>
          <w:sz w:val="32"/>
          <w:szCs w:val="32"/>
        </w:rPr>
        <w:t>(六)承担自治区自然资源厅交办的其他工作。</w:t>
      </w:r>
    </w:p>
    <w:p w14:paraId="55A8187C">
      <w:pPr>
        <w:widowControl/>
        <w:ind w:firstLine="640" w:firstLineChars="200"/>
        <w:jc w:val="left"/>
        <w:outlineLvl w:val="1"/>
        <w:rPr>
          <w:rFonts w:ascii="黑体" w:eastAsia="黑体"/>
          <w:sz w:val="32"/>
          <w:szCs w:val="32"/>
        </w:rPr>
      </w:pPr>
      <w:r>
        <w:rPr>
          <w:rFonts w:ascii="黑体" w:eastAsia="黑体"/>
          <w:sz w:val="32"/>
          <w:szCs w:val="32"/>
        </w:rPr>
        <w:t>二、机构设置</w:t>
      </w:r>
    </w:p>
    <w:p w14:paraId="2B820CAC">
      <w:pPr>
        <w:widowControl/>
        <w:ind w:firstLine="640" w:firstLineChars="200"/>
        <w:jc w:val="left"/>
        <w:rPr>
          <w:rFonts w:ascii="仿宋_GB2312" w:eastAsia="仿宋_GB2312"/>
          <w:sz w:val="32"/>
          <w:szCs w:val="32"/>
        </w:rPr>
      </w:pPr>
      <w:r>
        <w:rPr>
          <w:rFonts w:ascii="仿宋_GB2312" w:eastAsia="仿宋_GB2312"/>
          <w:sz w:val="32"/>
          <w:szCs w:val="32"/>
        </w:rPr>
        <w:t>新疆维吾尔自治区地质成果中心无下属预算单位。</w:t>
      </w:r>
    </w:p>
    <w:p w14:paraId="15ADB163">
      <w:pPr>
        <w:widowControl/>
      </w:pPr>
      <w:r>
        <w:rPr>
          <w:sz w:val="0"/>
          <w:szCs w:val="0"/>
        </w:rPr>
        <w:br w:type="page"/>
      </w:r>
    </w:p>
    <w:p w14:paraId="0400C89F">
      <w:pPr>
        <w:widowControl/>
        <w:jc w:val="center"/>
        <w:outlineLvl w:val="0"/>
        <w:rPr>
          <w:rFonts w:ascii="黑体" w:eastAsia="黑体"/>
          <w:sz w:val="32"/>
          <w:szCs w:val="32"/>
        </w:rPr>
      </w:pPr>
      <w:r>
        <w:rPr>
          <w:rFonts w:ascii="黑体" w:eastAsia="黑体"/>
          <w:sz w:val="32"/>
          <w:szCs w:val="32"/>
        </w:rPr>
        <w:t>第二部分 部门决算情况说明</w:t>
      </w:r>
    </w:p>
    <w:p w14:paraId="3036B0D5">
      <w:pPr>
        <w:widowControl/>
        <w:ind w:firstLine="640" w:firstLineChars="200"/>
        <w:jc w:val="left"/>
        <w:outlineLvl w:val="1"/>
        <w:rPr>
          <w:rFonts w:ascii="黑体" w:eastAsia="黑体"/>
          <w:sz w:val="32"/>
          <w:szCs w:val="32"/>
        </w:rPr>
      </w:pPr>
      <w:r>
        <w:rPr>
          <w:rFonts w:ascii="黑体" w:eastAsia="黑体"/>
          <w:sz w:val="32"/>
          <w:szCs w:val="32"/>
        </w:rPr>
        <w:t>一、收入支出决算总体情况说明</w:t>
      </w:r>
    </w:p>
    <w:p w14:paraId="1719051E">
      <w:pPr>
        <w:widowControl/>
        <w:ind w:firstLine="640" w:firstLineChars="200"/>
        <w:rPr>
          <w:rFonts w:ascii="仿宋_GB2312" w:eastAsia="仿宋_GB2312"/>
          <w:sz w:val="32"/>
          <w:szCs w:val="32"/>
        </w:rPr>
      </w:pPr>
      <w:r>
        <w:rPr>
          <w:rFonts w:ascii="仿宋_GB2312" w:eastAsia="仿宋_GB2312"/>
          <w:sz w:val="32"/>
          <w:szCs w:val="32"/>
        </w:rPr>
        <w:t>2025年度收入总计1,685.29万元，其中：本年收入合计1,344.11万元，使用非财政拨款结余（含专用结余）0.00万元，年初结转和结余341.18万元。</w:t>
      </w:r>
    </w:p>
    <w:p w14:paraId="1208C023">
      <w:pPr>
        <w:widowControl/>
        <w:ind w:firstLine="640" w:firstLineChars="200"/>
        <w:rPr>
          <w:rFonts w:ascii="仿宋_GB2312" w:eastAsia="仿宋_GB2312"/>
          <w:sz w:val="32"/>
          <w:szCs w:val="32"/>
        </w:rPr>
      </w:pPr>
      <w:r>
        <w:rPr>
          <w:rFonts w:ascii="仿宋_GB2312" w:eastAsia="仿宋_GB2312"/>
          <w:sz w:val="32"/>
          <w:szCs w:val="32"/>
        </w:rPr>
        <w:t>2025年度支出总计1,685.29万元，其中：本年支出合计1,677.48万元，结余分配7.81万元，年末结转和结余0.00万元。</w:t>
      </w:r>
    </w:p>
    <w:p w14:paraId="045A2D36">
      <w:pPr>
        <w:widowControl/>
        <w:ind w:firstLine="640" w:firstLineChars="200"/>
        <w:rPr>
          <w:rFonts w:ascii="仿宋_GB2312" w:eastAsia="仿宋_GB2312"/>
          <w:sz w:val="32"/>
          <w:szCs w:val="32"/>
        </w:rPr>
      </w:pPr>
      <w:r>
        <w:rPr>
          <w:rFonts w:ascii="仿宋_GB2312" w:eastAsia="仿宋_GB2312"/>
          <w:sz w:val="32"/>
          <w:szCs w:val="32"/>
        </w:rPr>
        <w:t>收入支出总体与上年相比，减少230.68万元，下降12.04%，主要原因是：</w:t>
      </w:r>
      <w:r>
        <w:rPr>
          <w:rFonts w:hint="eastAsia" w:ascii="仿宋_GB2312" w:eastAsia="仿宋_GB2312"/>
          <w:sz w:val="32"/>
          <w:szCs w:val="32"/>
          <w:lang w:val="en-US" w:eastAsia="zh-CN"/>
        </w:rPr>
        <w:t>本年我</w:t>
      </w:r>
      <w:r>
        <w:rPr>
          <w:rFonts w:ascii="仿宋_GB2312" w:eastAsia="仿宋_GB2312"/>
          <w:sz w:val="32"/>
          <w:szCs w:val="32"/>
        </w:rPr>
        <w:t>中心无经营收入</w:t>
      </w:r>
      <w:r>
        <w:rPr>
          <w:rFonts w:hint="eastAsia" w:ascii="仿宋_GB2312" w:eastAsia="仿宋_GB2312"/>
          <w:sz w:val="32"/>
          <w:szCs w:val="32"/>
          <w:lang w:val="en-US" w:eastAsia="zh-CN"/>
        </w:rPr>
        <w:t>支出</w:t>
      </w:r>
      <w:r>
        <w:rPr>
          <w:rFonts w:ascii="仿宋_GB2312" w:eastAsia="仿宋_GB2312"/>
          <w:sz w:val="32"/>
          <w:szCs w:val="32"/>
        </w:rPr>
        <w:t>，收</w:t>
      </w:r>
      <w:r>
        <w:rPr>
          <w:rFonts w:hint="eastAsia" w:ascii="仿宋_GB2312" w:eastAsia="仿宋_GB2312"/>
          <w:sz w:val="32"/>
          <w:szCs w:val="32"/>
          <w:lang w:eastAsia="zh-CN"/>
        </w:rPr>
        <w:t>支</w:t>
      </w:r>
      <w:r>
        <w:rPr>
          <w:rFonts w:ascii="仿宋_GB2312" w:eastAsia="仿宋_GB2312"/>
          <w:sz w:val="32"/>
          <w:szCs w:val="32"/>
        </w:rPr>
        <w:t>对应减少。</w:t>
      </w:r>
    </w:p>
    <w:p w14:paraId="6F373D73">
      <w:pPr>
        <w:widowControl/>
        <w:ind w:firstLine="640" w:firstLineChars="200"/>
        <w:jc w:val="left"/>
        <w:outlineLvl w:val="1"/>
        <w:rPr>
          <w:rFonts w:ascii="黑体" w:eastAsia="黑体"/>
          <w:sz w:val="32"/>
          <w:szCs w:val="32"/>
        </w:rPr>
      </w:pPr>
      <w:r>
        <w:rPr>
          <w:rFonts w:ascii="黑体" w:eastAsia="黑体"/>
          <w:sz w:val="32"/>
          <w:szCs w:val="32"/>
        </w:rPr>
        <w:t>二、收入决算情况说明</w:t>
      </w:r>
    </w:p>
    <w:p w14:paraId="0F19B300">
      <w:pPr>
        <w:widowControl/>
        <w:ind w:firstLine="640" w:firstLineChars="200"/>
        <w:rPr>
          <w:rFonts w:ascii="仿宋_GB2312" w:eastAsia="仿宋_GB2312"/>
          <w:sz w:val="32"/>
          <w:szCs w:val="32"/>
        </w:rPr>
      </w:pPr>
      <w:r>
        <w:rPr>
          <w:rFonts w:ascii="仿宋_GB2312" w:eastAsia="仿宋_GB2312"/>
          <w:sz w:val="32"/>
          <w:szCs w:val="32"/>
        </w:rPr>
        <w:t>本年收入1,344.11万元，其中：财政拨款收入1,343.60万元,占99.96%；上级补助收入0.00万元,占0.00%；事业收入0.00万元，占0.00%；经营收入0.00万元,占0.00%；附属单位上缴收入0.00万元，占0.00%；其他收入0.50万元，占0.04%。</w:t>
      </w:r>
    </w:p>
    <w:p w14:paraId="7E17FF0D">
      <w:pPr>
        <w:widowControl/>
        <w:ind w:firstLine="640" w:firstLineChars="200"/>
        <w:jc w:val="left"/>
        <w:outlineLvl w:val="1"/>
        <w:rPr>
          <w:rFonts w:ascii="黑体" w:eastAsia="黑体"/>
          <w:sz w:val="32"/>
          <w:szCs w:val="32"/>
        </w:rPr>
      </w:pPr>
      <w:r>
        <w:rPr>
          <w:rFonts w:ascii="黑体" w:eastAsia="黑体"/>
          <w:sz w:val="32"/>
          <w:szCs w:val="32"/>
        </w:rPr>
        <w:t>三、支出决算情况说明</w:t>
      </w:r>
    </w:p>
    <w:p w14:paraId="09854DEF">
      <w:pPr>
        <w:widowControl/>
        <w:ind w:firstLine="640" w:firstLineChars="200"/>
        <w:rPr>
          <w:rFonts w:ascii="仿宋_GB2312" w:eastAsia="仿宋_GB2312"/>
          <w:sz w:val="32"/>
          <w:szCs w:val="32"/>
        </w:rPr>
      </w:pPr>
      <w:r>
        <w:rPr>
          <w:rFonts w:ascii="仿宋_GB2312" w:eastAsia="仿宋_GB2312"/>
          <w:sz w:val="32"/>
          <w:szCs w:val="32"/>
        </w:rPr>
        <w:t>本年支出1,677.48万元，其中：基本支出743.60万元，占44.33%；项目支出933.88万元，占55.67%；上缴上级支出0.00万元，占0.00%；经营支出0.00万元，占0.00%；对附属单位补助支出0.00万元，占0.00%。</w:t>
      </w:r>
    </w:p>
    <w:p w14:paraId="331A20F2">
      <w:pPr>
        <w:widowControl/>
        <w:ind w:firstLine="640" w:firstLineChars="200"/>
        <w:jc w:val="left"/>
        <w:outlineLvl w:val="1"/>
        <w:rPr>
          <w:rFonts w:ascii="黑体" w:eastAsia="黑体"/>
          <w:sz w:val="32"/>
          <w:szCs w:val="32"/>
        </w:rPr>
      </w:pPr>
      <w:r>
        <w:rPr>
          <w:rFonts w:ascii="黑体" w:eastAsia="黑体"/>
          <w:sz w:val="32"/>
          <w:szCs w:val="32"/>
        </w:rPr>
        <w:t>四、财政拨款收入支出决算总体情况说明</w:t>
      </w:r>
    </w:p>
    <w:p w14:paraId="4C387EDE">
      <w:pPr>
        <w:widowControl/>
        <w:ind w:firstLine="640" w:firstLineChars="200"/>
        <w:rPr>
          <w:rFonts w:ascii="仿宋_GB2312" w:eastAsia="仿宋_GB2312"/>
          <w:sz w:val="32"/>
          <w:szCs w:val="32"/>
        </w:rPr>
      </w:pPr>
      <w:r>
        <w:rPr>
          <w:rFonts w:ascii="仿宋_GB2312" w:eastAsia="仿宋_GB2312"/>
          <w:sz w:val="32"/>
          <w:szCs w:val="32"/>
        </w:rPr>
        <w:t>2025年度财政拨款收入总计1,343.60万元，其中：年初财政拨款结转和结余0.00万元，本年财政拨款收入1,343.60万元。财政拨款支出总计1,343.60万元，其中：年末财政拨款结转和结余0.00万元，本年财政拨款支出1,343.60万元。</w:t>
      </w:r>
    </w:p>
    <w:p w14:paraId="2CFA66C7">
      <w:pPr>
        <w:widowControl/>
        <w:ind w:firstLine="640" w:firstLineChars="200"/>
        <w:rPr>
          <w:rFonts w:ascii="仿宋_GB2312" w:eastAsia="仿宋_GB2312"/>
          <w:sz w:val="32"/>
          <w:szCs w:val="32"/>
        </w:rPr>
      </w:pPr>
      <w:r>
        <w:rPr>
          <w:rFonts w:ascii="仿宋_GB2312" w:eastAsia="仿宋_GB2312"/>
          <w:sz w:val="32"/>
          <w:szCs w:val="32"/>
        </w:rPr>
        <w:t>财政拨款收入支出总体与上年相比，增加353.84万元，增长35.75%，主要原因是：2025年新入职20人，人员经费相应增加。与年初预算相比，年初预算数1,064.30万元，决算数1,343.60万元，预决算差异率26.24%，主要原因是：本年度追加调入和社招人员工资和社会保险费。</w:t>
      </w:r>
    </w:p>
    <w:p w14:paraId="39F6BE64">
      <w:pPr>
        <w:widowControl/>
        <w:ind w:firstLine="640" w:firstLineChars="200"/>
        <w:jc w:val="left"/>
        <w:outlineLvl w:val="1"/>
        <w:rPr>
          <w:rFonts w:ascii="黑体" w:eastAsia="黑体"/>
          <w:sz w:val="32"/>
          <w:szCs w:val="32"/>
        </w:rPr>
      </w:pPr>
      <w:r>
        <w:rPr>
          <w:rFonts w:ascii="黑体" w:eastAsia="黑体"/>
          <w:sz w:val="32"/>
          <w:szCs w:val="32"/>
        </w:rPr>
        <w:t>五、一般公共预算财政拨款支出决算情况说明</w:t>
      </w:r>
    </w:p>
    <w:p w14:paraId="2D495B45">
      <w:pPr>
        <w:widowControl/>
        <w:ind w:firstLine="640" w:firstLineChars="200"/>
        <w:jc w:val="left"/>
        <w:rPr>
          <w:rFonts w:ascii="仿宋_GB2312" w:eastAsia="仿宋_GB2312"/>
          <w:sz w:val="32"/>
          <w:szCs w:val="32"/>
        </w:rPr>
      </w:pPr>
      <w:r>
        <w:rPr>
          <w:rFonts w:ascii="仿宋_GB2312" w:eastAsia="仿宋_GB2312"/>
          <w:sz w:val="32"/>
          <w:szCs w:val="32"/>
        </w:rPr>
        <w:t>按照党中央、国务院关于党政机关习惯过紧日子的有关要求，厉行节约办一切事业，严控一般性支出。同时坚持有保有压，优化支出结构，提高资金使用效率，合理保障人员工资支出、公用经费支出、新疆矿产资源储量报告评审项目等重点支出，体现在有关支出科目中。</w:t>
      </w:r>
    </w:p>
    <w:p w14:paraId="6E22A609">
      <w:pPr>
        <w:widowControl/>
        <w:ind w:firstLine="640" w:firstLineChars="200"/>
        <w:jc w:val="left"/>
        <w:rPr>
          <w:rFonts w:ascii="仿宋_GB2312" w:eastAsia="仿宋_GB2312"/>
          <w:sz w:val="32"/>
          <w:szCs w:val="32"/>
        </w:rPr>
      </w:pPr>
      <w:r>
        <w:rPr>
          <w:rFonts w:ascii="仿宋_GB2312" w:eastAsia="仿宋_GB2312"/>
          <w:sz w:val="32"/>
          <w:szCs w:val="32"/>
        </w:rPr>
        <w:t>按照支出功能分类，自然资源海洋气象等支出（类）自然资源事务（款）地质勘查与矿产资源管理（项）的支出占本年财政拨款支出总额的比重最高，2025年度决算数为600.00万元，占比为44.66%，主要用于新疆矿产资源储量报告评审项目。</w:t>
      </w:r>
    </w:p>
    <w:p w14:paraId="39950B39">
      <w:pPr>
        <w:widowControl/>
        <w:ind w:firstLine="640" w:firstLineChars="200"/>
        <w:outlineLvl w:val="2"/>
        <w:rPr>
          <w:rFonts w:ascii="黑体" w:eastAsia="黑体"/>
          <w:sz w:val="32"/>
          <w:szCs w:val="32"/>
        </w:rPr>
      </w:pPr>
      <w:r>
        <w:rPr>
          <w:rFonts w:ascii="黑体" w:eastAsia="黑体"/>
          <w:sz w:val="32"/>
          <w:szCs w:val="32"/>
        </w:rPr>
        <w:t>（一）一般公共预算财政拨款支出决算总体情况</w:t>
      </w:r>
    </w:p>
    <w:p w14:paraId="192684B4">
      <w:pPr>
        <w:widowControl/>
        <w:ind w:firstLine="640" w:firstLineChars="200"/>
        <w:rPr>
          <w:rFonts w:ascii="仿宋_GB2312" w:eastAsia="仿宋_GB2312"/>
          <w:sz w:val="32"/>
          <w:szCs w:val="32"/>
        </w:rPr>
      </w:pPr>
      <w:r>
        <w:rPr>
          <w:rFonts w:ascii="仿宋_GB2312" w:eastAsia="仿宋_GB2312"/>
          <w:sz w:val="32"/>
          <w:szCs w:val="32"/>
        </w:rPr>
        <w:t>2025年度一般公共预算财政拨款支出1,343.60万元，占本年支出合计的80.10%。与上年相比，增加353.84万元，增长35.75%，主要原因是：2025新入职20人，基本支出相应增加。与年初预算相比，年初预算数1,064.30万元，决算数1,343.60万元，预决算差异率26.24%，主要原因是：本年度追加调入和社招人员工资和社会保险费。</w:t>
      </w:r>
    </w:p>
    <w:p w14:paraId="1BF15690">
      <w:pPr>
        <w:widowControl/>
        <w:ind w:firstLine="640" w:firstLineChars="200"/>
        <w:jc w:val="left"/>
        <w:outlineLvl w:val="2"/>
        <w:rPr>
          <w:rFonts w:ascii="黑体" w:eastAsia="黑体"/>
          <w:sz w:val="32"/>
          <w:szCs w:val="32"/>
        </w:rPr>
      </w:pPr>
      <w:r>
        <w:rPr>
          <w:rFonts w:ascii="黑体" w:eastAsia="黑体"/>
          <w:sz w:val="32"/>
          <w:szCs w:val="32"/>
        </w:rPr>
        <w:t>（二）一般公共预算财政拨款支出决算结构情况</w:t>
      </w:r>
    </w:p>
    <w:p w14:paraId="73368ECF">
      <w:pPr>
        <w:widowControl/>
        <w:ind w:firstLine="640" w:firstLineChars="200"/>
        <w:rPr>
          <w:rFonts w:ascii="仿宋_GB2312" w:eastAsia="仿宋_GB2312"/>
          <w:sz w:val="32"/>
          <w:szCs w:val="32"/>
        </w:rPr>
      </w:pPr>
      <w:r>
        <w:rPr>
          <w:rFonts w:hint="eastAsia" w:ascii="仿宋_GB2312" w:eastAsia="仿宋_GB2312"/>
          <w:sz w:val="32"/>
          <w:szCs w:val="32"/>
          <w:lang w:val="en-US" w:eastAsia="zh-CN"/>
        </w:rPr>
        <w:t>1.</w:t>
      </w:r>
      <w:r>
        <w:rPr>
          <w:rFonts w:ascii="仿宋_GB2312" w:eastAsia="仿宋_GB2312"/>
          <w:sz w:val="32"/>
          <w:szCs w:val="32"/>
        </w:rPr>
        <w:t>社会保障和就业支出（类）111.54万元，占8.30%。</w:t>
      </w:r>
    </w:p>
    <w:p w14:paraId="0A9B344D">
      <w:pPr>
        <w:widowControl/>
        <w:ind w:firstLine="640" w:firstLineChars="200"/>
        <w:rPr>
          <w:rFonts w:ascii="仿宋_GB2312" w:eastAsia="仿宋_GB2312"/>
          <w:sz w:val="32"/>
          <w:szCs w:val="32"/>
        </w:rPr>
      </w:pPr>
      <w:r>
        <w:rPr>
          <w:rFonts w:hint="eastAsia" w:ascii="仿宋_GB2312" w:eastAsia="仿宋_GB2312"/>
          <w:sz w:val="32"/>
          <w:szCs w:val="32"/>
          <w:lang w:val="en-US" w:eastAsia="zh-CN"/>
        </w:rPr>
        <w:t>2.</w:t>
      </w:r>
      <w:r>
        <w:rPr>
          <w:rFonts w:ascii="仿宋_GB2312" w:eastAsia="仿宋_GB2312"/>
          <w:sz w:val="32"/>
          <w:szCs w:val="32"/>
        </w:rPr>
        <w:t>卫生健康支出（类）70.85万元，占5.27%。</w:t>
      </w:r>
    </w:p>
    <w:p w14:paraId="155676B4">
      <w:pPr>
        <w:widowControl/>
        <w:ind w:firstLine="640" w:firstLineChars="200"/>
        <w:rPr>
          <w:rFonts w:ascii="仿宋_GB2312" w:eastAsia="仿宋_GB2312"/>
          <w:sz w:val="32"/>
          <w:szCs w:val="32"/>
        </w:rPr>
      </w:pPr>
      <w:r>
        <w:rPr>
          <w:rFonts w:hint="eastAsia" w:ascii="仿宋_GB2312" w:eastAsia="仿宋_GB2312"/>
          <w:sz w:val="32"/>
          <w:szCs w:val="32"/>
          <w:lang w:val="en-US" w:eastAsia="zh-CN"/>
        </w:rPr>
        <w:t>3.</w:t>
      </w:r>
      <w:r>
        <w:rPr>
          <w:rFonts w:ascii="仿宋_GB2312" w:eastAsia="仿宋_GB2312"/>
          <w:sz w:val="32"/>
          <w:szCs w:val="32"/>
        </w:rPr>
        <w:t>自然资源海洋气象等支出（类）1,110.02万元，占82.62%。</w:t>
      </w:r>
    </w:p>
    <w:p w14:paraId="2F24D432">
      <w:pPr>
        <w:widowControl/>
        <w:ind w:firstLine="640" w:firstLineChars="200"/>
        <w:rPr>
          <w:rFonts w:ascii="仿宋_GB2312" w:eastAsia="仿宋_GB2312"/>
          <w:sz w:val="32"/>
          <w:szCs w:val="32"/>
        </w:rPr>
      </w:pPr>
      <w:r>
        <w:rPr>
          <w:rFonts w:hint="eastAsia" w:ascii="仿宋_GB2312" w:eastAsia="仿宋_GB2312"/>
          <w:sz w:val="32"/>
          <w:szCs w:val="32"/>
          <w:lang w:val="en-US" w:eastAsia="zh-CN"/>
        </w:rPr>
        <w:t>4.</w:t>
      </w:r>
      <w:r>
        <w:rPr>
          <w:rFonts w:ascii="仿宋_GB2312" w:eastAsia="仿宋_GB2312"/>
          <w:sz w:val="32"/>
          <w:szCs w:val="32"/>
        </w:rPr>
        <w:t>住房保障支出（类）51.19万元，占3.81%。</w:t>
      </w:r>
    </w:p>
    <w:p w14:paraId="44922423">
      <w:pPr>
        <w:widowControl/>
        <w:ind w:firstLine="640" w:firstLineChars="200"/>
        <w:jc w:val="left"/>
        <w:outlineLvl w:val="2"/>
        <w:rPr>
          <w:rFonts w:ascii="黑体" w:eastAsia="黑体"/>
          <w:sz w:val="32"/>
          <w:szCs w:val="32"/>
        </w:rPr>
      </w:pPr>
      <w:r>
        <w:rPr>
          <w:rFonts w:ascii="黑体" w:eastAsia="黑体"/>
          <w:sz w:val="32"/>
          <w:szCs w:val="32"/>
        </w:rPr>
        <w:t>（三）一般公共预算财政拨款支出决算具体情况</w:t>
      </w:r>
    </w:p>
    <w:p w14:paraId="0DD7753E">
      <w:pPr>
        <w:widowControl/>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lang w:val="en-US" w:eastAsia="zh-CN"/>
        </w:rPr>
        <w:t>.</w:t>
      </w:r>
      <w:r>
        <w:rPr>
          <w:rFonts w:ascii="仿宋_GB2312" w:eastAsia="仿宋_GB2312"/>
          <w:sz w:val="32"/>
          <w:szCs w:val="32"/>
        </w:rPr>
        <w:t>社会保障和就业支出（类）行政事业单位养老支出（款）事业单位离退休（项）：支出决算数为8.05万元，比上年决算增加0.88万元，增长12.27%，主要原因是：退休人员基础绩效奖增</w:t>
      </w:r>
      <w:r>
        <w:rPr>
          <w:rFonts w:hint="eastAsia" w:ascii="仿宋_GB2312" w:eastAsia="仿宋_GB2312"/>
          <w:sz w:val="32"/>
          <w:szCs w:val="32"/>
          <w:lang w:eastAsia="zh-CN"/>
        </w:rPr>
        <w:t>加</w:t>
      </w:r>
      <w:r>
        <w:rPr>
          <w:rFonts w:ascii="仿宋_GB2312" w:eastAsia="仿宋_GB2312"/>
          <w:sz w:val="32"/>
          <w:szCs w:val="32"/>
        </w:rPr>
        <w:t>。</w:t>
      </w:r>
    </w:p>
    <w:p w14:paraId="0B06DCB4">
      <w:pPr>
        <w:widowControl/>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lang w:val="en-US" w:eastAsia="zh-CN"/>
        </w:rPr>
        <w:t>.</w:t>
      </w:r>
      <w:r>
        <w:rPr>
          <w:rFonts w:ascii="仿宋_GB2312" w:eastAsia="仿宋_GB2312"/>
          <w:sz w:val="32"/>
          <w:szCs w:val="32"/>
        </w:rPr>
        <w:t>社会保障和就业支出（类）行政事业单位养老支出（款）机关事业单位基本养老保险缴费支出（项）：支出决算数为68.24万元，比上年决算增加40.46万元，增长145.64%，主要原因是：我中心2025年新入职20人，人员增加对应的事业单位基本养老保险缴费支出增加。</w:t>
      </w:r>
    </w:p>
    <w:p w14:paraId="6DD1974F">
      <w:pPr>
        <w:widowControl/>
        <w:ind w:firstLine="640" w:firstLineChars="200"/>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lang w:val="en-US" w:eastAsia="zh-CN"/>
        </w:rPr>
        <w:t>.</w:t>
      </w:r>
      <w:r>
        <w:rPr>
          <w:rFonts w:ascii="仿宋_GB2312" w:eastAsia="仿宋_GB2312"/>
          <w:sz w:val="32"/>
          <w:szCs w:val="32"/>
        </w:rPr>
        <w:t>社会保障和就业支出（类）行政事业单位养老支出（款）机关事业单位职业年金缴费支出（项）：支出决算数为35.25万元，比上年决算增加35.25万元，增长100.00%，主要原因是：按照新人社发〔2025〕18号文，年末追加职业年金</w:t>
      </w:r>
      <w:r>
        <w:rPr>
          <w:rFonts w:hint="eastAsia" w:ascii="仿宋_GB2312" w:eastAsia="仿宋_GB2312"/>
          <w:sz w:val="32"/>
          <w:szCs w:val="32"/>
          <w:lang w:eastAsia="zh-CN"/>
        </w:rPr>
        <w:t>缴费</w:t>
      </w:r>
      <w:r>
        <w:rPr>
          <w:rFonts w:ascii="仿宋_GB2312" w:eastAsia="仿宋_GB2312"/>
          <w:sz w:val="32"/>
          <w:szCs w:val="32"/>
        </w:rPr>
        <w:t>，所以</w:t>
      </w:r>
      <w:r>
        <w:rPr>
          <w:rFonts w:hint="eastAsia" w:ascii="仿宋_GB2312" w:eastAsia="仿宋_GB2312"/>
          <w:sz w:val="32"/>
          <w:szCs w:val="32"/>
          <w:lang w:val="en-US" w:eastAsia="zh-CN"/>
        </w:rPr>
        <w:t>支出</w:t>
      </w:r>
      <w:r>
        <w:rPr>
          <w:rFonts w:ascii="仿宋_GB2312" w:eastAsia="仿宋_GB2312"/>
          <w:sz w:val="32"/>
          <w:szCs w:val="32"/>
        </w:rPr>
        <w:t>较上年增加。</w:t>
      </w:r>
    </w:p>
    <w:p w14:paraId="2A6133E0">
      <w:pPr>
        <w:widowControl/>
        <w:ind w:firstLine="640" w:firstLineChars="200"/>
        <w:rPr>
          <w:rFonts w:ascii="仿宋_GB2312" w:eastAsia="仿宋_GB2312"/>
          <w:sz w:val="32"/>
          <w:szCs w:val="32"/>
        </w:rPr>
      </w:pPr>
      <w:r>
        <w:rPr>
          <w:rFonts w:ascii="仿宋_GB2312" w:eastAsia="仿宋_GB2312"/>
          <w:sz w:val="32"/>
          <w:szCs w:val="32"/>
        </w:rPr>
        <w:t>4</w:t>
      </w:r>
      <w:r>
        <w:rPr>
          <w:rFonts w:hint="eastAsia" w:ascii="仿宋_GB2312" w:eastAsia="仿宋_GB2312"/>
          <w:sz w:val="32"/>
          <w:szCs w:val="32"/>
          <w:lang w:val="en-US" w:eastAsia="zh-CN"/>
        </w:rPr>
        <w:t>.</w:t>
      </w:r>
      <w:r>
        <w:rPr>
          <w:rFonts w:ascii="仿宋_GB2312" w:eastAsia="仿宋_GB2312"/>
          <w:sz w:val="32"/>
          <w:szCs w:val="32"/>
        </w:rPr>
        <w:t>卫生健康支出（类）行政事业单位医疗（款）事业单位医疗（项）：支出决算数为40.99万元，比上年决算增加26.58万元，增长184.46%，主要原因是：我中心2025年新入职20人，人员增加对应事业单位医疗支出增加。</w:t>
      </w:r>
    </w:p>
    <w:p w14:paraId="3BD6008B">
      <w:pPr>
        <w:widowControl/>
        <w:ind w:firstLine="640" w:firstLineChars="200"/>
        <w:rPr>
          <w:rFonts w:ascii="仿宋_GB2312" w:eastAsia="仿宋_GB2312"/>
          <w:sz w:val="32"/>
          <w:szCs w:val="32"/>
        </w:rPr>
      </w:pPr>
      <w:r>
        <w:rPr>
          <w:rFonts w:ascii="仿宋_GB2312" w:eastAsia="仿宋_GB2312"/>
          <w:sz w:val="32"/>
          <w:szCs w:val="32"/>
        </w:rPr>
        <w:t>5</w:t>
      </w:r>
      <w:r>
        <w:rPr>
          <w:rFonts w:hint="eastAsia" w:ascii="仿宋_GB2312" w:eastAsia="仿宋_GB2312"/>
          <w:sz w:val="32"/>
          <w:szCs w:val="32"/>
          <w:lang w:val="en-US" w:eastAsia="zh-CN"/>
        </w:rPr>
        <w:t>.</w:t>
      </w:r>
      <w:r>
        <w:rPr>
          <w:rFonts w:ascii="仿宋_GB2312" w:eastAsia="仿宋_GB2312"/>
          <w:sz w:val="32"/>
          <w:szCs w:val="32"/>
        </w:rPr>
        <w:t>卫生健康支出（类）行政事业单位医疗（款）公务员医疗补助（项）：支出决算数为29.86万元，比上年决算增加17.71万元，增长145.76%，主要原因是：我中心2025年新入职20人，人员增加对应的公务员医疗补助支出增加。</w:t>
      </w:r>
    </w:p>
    <w:p w14:paraId="2649C7F6">
      <w:pPr>
        <w:widowControl/>
        <w:ind w:firstLine="640" w:firstLineChars="200"/>
        <w:rPr>
          <w:rFonts w:ascii="仿宋_GB2312" w:eastAsia="仿宋_GB2312"/>
          <w:sz w:val="32"/>
          <w:szCs w:val="32"/>
        </w:rPr>
      </w:pPr>
      <w:r>
        <w:rPr>
          <w:rFonts w:ascii="仿宋_GB2312" w:eastAsia="仿宋_GB2312"/>
          <w:sz w:val="32"/>
          <w:szCs w:val="32"/>
        </w:rPr>
        <w:t>6</w:t>
      </w:r>
      <w:r>
        <w:rPr>
          <w:rFonts w:hint="eastAsia" w:ascii="仿宋_GB2312" w:eastAsia="仿宋_GB2312"/>
          <w:sz w:val="32"/>
          <w:szCs w:val="32"/>
          <w:lang w:val="en-US" w:eastAsia="zh-CN"/>
        </w:rPr>
        <w:t>.</w:t>
      </w:r>
      <w:r>
        <w:rPr>
          <w:rFonts w:ascii="仿宋_GB2312" w:eastAsia="仿宋_GB2312"/>
          <w:sz w:val="32"/>
          <w:szCs w:val="32"/>
        </w:rPr>
        <w:t>自然资源海洋气象等支出（类）自然资源事务（款）地质勘查与矿产资源管理（项）：支出决算数为600.00万元，比上年决算增加600.00万元，增长100.00%，主要原因是：</w:t>
      </w:r>
      <w:r>
        <w:rPr>
          <w:rFonts w:hint="eastAsia" w:ascii="仿宋_GB2312" w:eastAsia="仿宋_GB2312"/>
          <w:sz w:val="32"/>
          <w:szCs w:val="32"/>
          <w:lang w:eastAsia="zh-CN"/>
        </w:rPr>
        <w:t>本年</w:t>
      </w:r>
      <w:r>
        <w:rPr>
          <w:rFonts w:hint="eastAsia" w:ascii="仿宋_GB2312" w:eastAsia="仿宋_GB2312"/>
          <w:sz w:val="32"/>
          <w:szCs w:val="32"/>
        </w:rPr>
        <w:t>新疆矿产资源储量报告评审</w:t>
      </w:r>
      <w:r>
        <w:rPr>
          <w:rFonts w:hint="eastAsia" w:ascii="仿宋_GB2312" w:eastAsia="仿宋_GB2312"/>
          <w:sz w:val="32"/>
          <w:szCs w:val="32"/>
          <w:lang w:eastAsia="zh-CN"/>
        </w:rPr>
        <w:t>项目从</w:t>
      </w:r>
      <w:r>
        <w:rPr>
          <w:rFonts w:ascii="仿宋_GB2312" w:eastAsia="仿宋_GB2312"/>
          <w:sz w:val="32"/>
          <w:szCs w:val="32"/>
        </w:rPr>
        <w:t>其他自然资源事务支出（项）调整至地质勘查与矿产资源管理（项）</w:t>
      </w:r>
      <w:r>
        <w:rPr>
          <w:rFonts w:hint="eastAsia" w:ascii="仿宋_GB2312" w:eastAsia="仿宋_GB2312"/>
          <w:sz w:val="32"/>
          <w:szCs w:val="32"/>
          <w:lang w:eastAsia="zh-CN"/>
        </w:rPr>
        <w:t>，</w:t>
      </w:r>
      <w:r>
        <w:rPr>
          <w:rFonts w:hint="eastAsia" w:ascii="仿宋_GB2312" w:eastAsia="仿宋_GB2312"/>
          <w:sz w:val="32"/>
          <w:szCs w:val="32"/>
          <w:lang w:val="en-US" w:eastAsia="zh-CN"/>
        </w:rPr>
        <w:t>故经费支出较上年增加</w:t>
      </w:r>
      <w:r>
        <w:rPr>
          <w:rFonts w:ascii="仿宋_GB2312" w:eastAsia="仿宋_GB2312"/>
          <w:sz w:val="32"/>
          <w:szCs w:val="32"/>
        </w:rPr>
        <w:t>。</w:t>
      </w:r>
    </w:p>
    <w:p w14:paraId="21FE6518">
      <w:pPr>
        <w:widowControl/>
        <w:ind w:firstLine="640" w:firstLineChars="200"/>
        <w:rPr>
          <w:rFonts w:ascii="仿宋_GB2312" w:eastAsia="仿宋_GB2312"/>
          <w:sz w:val="32"/>
          <w:szCs w:val="32"/>
        </w:rPr>
      </w:pPr>
      <w:r>
        <w:rPr>
          <w:rFonts w:ascii="仿宋_GB2312" w:eastAsia="仿宋_GB2312"/>
          <w:sz w:val="32"/>
          <w:szCs w:val="32"/>
        </w:rPr>
        <w:t>7</w:t>
      </w:r>
      <w:r>
        <w:rPr>
          <w:rFonts w:hint="eastAsia" w:ascii="仿宋_GB2312" w:eastAsia="仿宋_GB2312"/>
          <w:sz w:val="32"/>
          <w:szCs w:val="32"/>
          <w:lang w:val="en-US" w:eastAsia="zh-CN"/>
        </w:rPr>
        <w:t>.</w:t>
      </w:r>
      <w:r>
        <w:rPr>
          <w:rFonts w:ascii="仿宋_GB2312" w:eastAsia="仿宋_GB2312"/>
          <w:sz w:val="32"/>
          <w:szCs w:val="32"/>
        </w:rPr>
        <w:t>自然资源海洋气象等支出（类）自然资源事务（款）事业运行（项）：支出决算数为510.02万元，比上年决算增加302.59万元，增长145.88%，主要原因是：我中心2025年新入职20人，人员增加对应的人员</w:t>
      </w:r>
      <w:r>
        <w:rPr>
          <w:rFonts w:hint="eastAsia" w:ascii="仿宋_GB2312" w:eastAsia="仿宋_GB2312"/>
          <w:sz w:val="32"/>
          <w:szCs w:val="32"/>
          <w:lang w:val="en-US" w:eastAsia="zh-CN"/>
        </w:rPr>
        <w:t>经费</w:t>
      </w:r>
      <w:r>
        <w:rPr>
          <w:rFonts w:hint="eastAsia" w:ascii="仿宋_GB2312" w:eastAsia="仿宋_GB2312"/>
          <w:sz w:val="32"/>
          <w:szCs w:val="32"/>
          <w:lang w:eastAsia="zh-CN"/>
        </w:rPr>
        <w:t>支出</w:t>
      </w:r>
      <w:r>
        <w:rPr>
          <w:rFonts w:ascii="仿宋_GB2312" w:eastAsia="仿宋_GB2312"/>
          <w:sz w:val="32"/>
          <w:szCs w:val="32"/>
        </w:rPr>
        <w:t>增加。</w:t>
      </w:r>
    </w:p>
    <w:p w14:paraId="09CBF3FC">
      <w:pPr>
        <w:widowControl/>
        <w:ind w:firstLine="640" w:firstLineChars="200"/>
        <w:rPr>
          <w:rFonts w:ascii="仿宋_GB2312" w:eastAsia="仿宋_GB2312"/>
          <w:sz w:val="32"/>
          <w:szCs w:val="32"/>
        </w:rPr>
      </w:pPr>
      <w:r>
        <w:rPr>
          <w:rFonts w:ascii="仿宋_GB2312" w:eastAsia="仿宋_GB2312"/>
          <w:sz w:val="32"/>
          <w:szCs w:val="32"/>
        </w:rPr>
        <w:t>8</w:t>
      </w:r>
      <w:r>
        <w:rPr>
          <w:rFonts w:hint="eastAsia" w:ascii="仿宋_GB2312" w:eastAsia="仿宋_GB2312"/>
          <w:sz w:val="32"/>
          <w:szCs w:val="32"/>
          <w:lang w:val="en-US" w:eastAsia="zh-CN"/>
        </w:rPr>
        <w:t>.</w:t>
      </w:r>
      <w:r>
        <w:rPr>
          <w:rFonts w:ascii="仿宋_GB2312" w:eastAsia="仿宋_GB2312"/>
          <w:sz w:val="32"/>
          <w:szCs w:val="32"/>
        </w:rPr>
        <w:t>自然资源海洋气象等支出（类）自然资源事务（款）其他自然资源事务支出（项）：支出决算数为0.00万元，比上年决算减少700.00万元，下降100.00%，主要原因是：</w:t>
      </w:r>
      <w:r>
        <w:rPr>
          <w:rFonts w:hint="eastAsia" w:ascii="仿宋_GB2312" w:eastAsia="仿宋_GB2312"/>
          <w:sz w:val="32"/>
          <w:szCs w:val="32"/>
          <w:lang w:eastAsia="zh-CN"/>
        </w:rPr>
        <w:t>本年</w:t>
      </w:r>
      <w:r>
        <w:rPr>
          <w:rFonts w:hint="eastAsia" w:ascii="仿宋_GB2312" w:eastAsia="仿宋_GB2312"/>
          <w:sz w:val="32"/>
          <w:szCs w:val="32"/>
        </w:rPr>
        <w:t>新疆矿产资源储量报告评审</w:t>
      </w:r>
      <w:r>
        <w:rPr>
          <w:rFonts w:hint="eastAsia" w:ascii="仿宋_GB2312" w:eastAsia="仿宋_GB2312"/>
          <w:sz w:val="32"/>
          <w:szCs w:val="32"/>
          <w:lang w:eastAsia="zh-CN"/>
        </w:rPr>
        <w:t>项目从</w:t>
      </w:r>
      <w:r>
        <w:rPr>
          <w:rFonts w:ascii="仿宋_GB2312" w:eastAsia="仿宋_GB2312"/>
          <w:sz w:val="32"/>
          <w:szCs w:val="32"/>
        </w:rPr>
        <w:t>其他自然资源事务支出（项）调整至地质勘查与矿产资源管理（项）</w:t>
      </w:r>
      <w:r>
        <w:rPr>
          <w:rFonts w:hint="eastAsia" w:ascii="仿宋_GB2312" w:eastAsia="仿宋_GB2312"/>
          <w:sz w:val="32"/>
          <w:szCs w:val="32"/>
          <w:lang w:eastAsia="zh-CN"/>
        </w:rPr>
        <w:t>，</w:t>
      </w:r>
      <w:r>
        <w:rPr>
          <w:rFonts w:hint="eastAsia" w:ascii="仿宋_GB2312" w:eastAsia="仿宋_GB2312"/>
          <w:sz w:val="32"/>
          <w:szCs w:val="32"/>
          <w:lang w:val="en-US" w:eastAsia="zh-CN"/>
        </w:rPr>
        <w:t>故经费支出较上年减少</w:t>
      </w:r>
      <w:r>
        <w:rPr>
          <w:rFonts w:ascii="仿宋_GB2312" w:eastAsia="仿宋_GB2312"/>
          <w:sz w:val="32"/>
          <w:szCs w:val="32"/>
        </w:rPr>
        <w:t>。</w:t>
      </w:r>
    </w:p>
    <w:p w14:paraId="6F5E6DAF">
      <w:pPr>
        <w:widowControl/>
        <w:ind w:firstLine="640" w:firstLineChars="200"/>
        <w:rPr>
          <w:rFonts w:ascii="仿宋_GB2312" w:eastAsia="仿宋_GB2312"/>
          <w:sz w:val="32"/>
          <w:szCs w:val="32"/>
        </w:rPr>
      </w:pPr>
      <w:r>
        <w:rPr>
          <w:rFonts w:ascii="仿宋_GB2312" w:eastAsia="仿宋_GB2312"/>
          <w:sz w:val="32"/>
          <w:szCs w:val="32"/>
        </w:rPr>
        <w:t>9</w:t>
      </w:r>
      <w:r>
        <w:rPr>
          <w:rFonts w:hint="eastAsia" w:ascii="仿宋_GB2312" w:eastAsia="仿宋_GB2312"/>
          <w:sz w:val="32"/>
          <w:szCs w:val="32"/>
          <w:lang w:val="en-US" w:eastAsia="zh-CN"/>
        </w:rPr>
        <w:t>.</w:t>
      </w:r>
      <w:r>
        <w:rPr>
          <w:rFonts w:ascii="仿宋_GB2312" w:eastAsia="仿宋_GB2312"/>
          <w:sz w:val="32"/>
          <w:szCs w:val="32"/>
        </w:rPr>
        <w:t>住房保障支出（类）住房改革支出（款）住房公积金（项）：支出决算数为51.19万元，比上年决算增加30.36万元，增长145.75%，主要原因是：我中心2025年新入职20人，人员增加对应的住房公积金支出增加。</w:t>
      </w:r>
    </w:p>
    <w:p w14:paraId="2B92A11C">
      <w:pPr>
        <w:widowControl/>
        <w:ind w:firstLine="640" w:firstLineChars="200"/>
        <w:jc w:val="left"/>
        <w:outlineLvl w:val="1"/>
        <w:rPr>
          <w:rFonts w:ascii="黑体" w:eastAsia="黑体"/>
          <w:sz w:val="32"/>
          <w:szCs w:val="32"/>
        </w:rPr>
      </w:pPr>
      <w:r>
        <w:rPr>
          <w:rFonts w:ascii="黑体" w:eastAsia="黑体"/>
          <w:sz w:val="32"/>
          <w:szCs w:val="32"/>
        </w:rPr>
        <w:t>六、一般公共预算财政拨款基本支出决算情况说明</w:t>
      </w:r>
    </w:p>
    <w:p w14:paraId="4690F4D6">
      <w:pPr>
        <w:widowControl/>
        <w:ind w:firstLine="640" w:firstLineChars="200"/>
        <w:rPr>
          <w:rFonts w:ascii="仿宋_GB2312" w:eastAsia="仿宋_GB2312"/>
          <w:sz w:val="32"/>
          <w:szCs w:val="32"/>
        </w:rPr>
      </w:pPr>
      <w:r>
        <w:rPr>
          <w:rFonts w:ascii="仿宋_GB2312" w:eastAsia="仿宋_GB2312"/>
          <w:sz w:val="32"/>
          <w:szCs w:val="32"/>
        </w:rPr>
        <w:t>2025年度一般公共预算财政拨款基本支出743.60万元，其中：人员经费714.57万元，包括：基本工资、津贴补贴、奖金、绩效工资、机关事业单位基本养老保险缴费、职业年金缴费、职工基本医疗保险缴费、公务员医疗补助缴费、其他社会保障缴费、住房公积金、退休费和其他对个人和家庭的补助。</w:t>
      </w:r>
    </w:p>
    <w:p w14:paraId="66FFAB7A">
      <w:pPr>
        <w:widowControl/>
        <w:ind w:firstLine="640" w:firstLineChars="200"/>
        <w:rPr>
          <w:rFonts w:ascii="仿宋_GB2312" w:eastAsia="仿宋_GB2312"/>
          <w:sz w:val="32"/>
          <w:szCs w:val="32"/>
        </w:rPr>
      </w:pPr>
      <w:r>
        <w:rPr>
          <w:rFonts w:ascii="仿宋_GB2312" w:eastAsia="仿宋_GB2312"/>
          <w:sz w:val="32"/>
          <w:szCs w:val="32"/>
        </w:rPr>
        <w:t>公用经费29.03万元，包括：办公费、取暖费、差旅费、工会经费、福利费和其他商品和服务支出。</w:t>
      </w:r>
    </w:p>
    <w:p w14:paraId="1B77387F">
      <w:pPr>
        <w:widowControl/>
        <w:ind w:firstLine="640" w:firstLineChars="200"/>
        <w:jc w:val="left"/>
        <w:outlineLvl w:val="1"/>
        <w:rPr>
          <w:rFonts w:ascii="黑体" w:eastAsia="黑体"/>
          <w:sz w:val="32"/>
          <w:szCs w:val="32"/>
        </w:rPr>
      </w:pPr>
      <w:r>
        <w:rPr>
          <w:rFonts w:ascii="黑体" w:eastAsia="黑体"/>
          <w:sz w:val="32"/>
          <w:szCs w:val="32"/>
        </w:rPr>
        <w:t>七、政府性基金预算财政拨款收入支出决算情况说明</w:t>
      </w:r>
    </w:p>
    <w:p w14:paraId="66F53FEB">
      <w:pPr>
        <w:widowControl/>
        <w:ind w:firstLine="640" w:firstLineChars="200"/>
        <w:rPr>
          <w:rFonts w:ascii="仿宋_GB2312" w:eastAsia="仿宋_GB2312"/>
          <w:sz w:val="32"/>
          <w:szCs w:val="32"/>
        </w:rPr>
      </w:pPr>
      <w:r>
        <w:rPr>
          <w:rFonts w:ascii="仿宋_GB2312" w:eastAsia="仿宋_GB2312"/>
          <w:sz w:val="32"/>
          <w:szCs w:val="32"/>
        </w:rPr>
        <w:t>本单位本年度无政府性基金预算财政拨款收入、支出及结转和结余，政府性基金预算财政拨款收入支出决算表为空表。</w:t>
      </w:r>
    </w:p>
    <w:p w14:paraId="56D3A7A1">
      <w:pPr>
        <w:widowControl/>
        <w:ind w:firstLine="640" w:firstLineChars="200"/>
        <w:jc w:val="left"/>
        <w:outlineLvl w:val="1"/>
        <w:rPr>
          <w:rFonts w:ascii="黑体" w:eastAsia="黑体"/>
          <w:sz w:val="32"/>
          <w:szCs w:val="32"/>
        </w:rPr>
      </w:pPr>
      <w:r>
        <w:rPr>
          <w:rFonts w:ascii="黑体" w:eastAsia="黑体"/>
          <w:sz w:val="32"/>
          <w:szCs w:val="32"/>
        </w:rPr>
        <w:t>八、国有资本经营预算财政拨款收入支出决算情况说明</w:t>
      </w:r>
    </w:p>
    <w:p w14:paraId="0F413CE2">
      <w:pPr>
        <w:widowControl/>
        <w:ind w:firstLine="640" w:firstLineChars="200"/>
        <w:rPr>
          <w:rFonts w:ascii="仿宋_GB2312" w:eastAsia="仿宋_GB2312"/>
          <w:sz w:val="32"/>
          <w:szCs w:val="32"/>
        </w:rPr>
      </w:pPr>
      <w:r>
        <w:rPr>
          <w:rFonts w:ascii="仿宋_GB2312" w:eastAsia="仿宋_GB2312"/>
          <w:sz w:val="32"/>
          <w:szCs w:val="32"/>
        </w:rPr>
        <w:t>本单位本年度无国有资本经营预算财政拨款收入、支出及结转和结余，国有资本经营预算财政拨款收入支出决算表为空表。</w:t>
      </w:r>
    </w:p>
    <w:p w14:paraId="0864D794">
      <w:pPr>
        <w:widowControl/>
        <w:ind w:firstLine="640" w:firstLineChars="200"/>
        <w:jc w:val="left"/>
        <w:outlineLvl w:val="1"/>
        <w:rPr>
          <w:rFonts w:ascii="黑体" w:eastAsia="黑体"/>
          <w:sz w:val="32"/>
          <w:szCs w:val="32"/>
        </w:rPr>
      </w:pPr>
      <w:r>
        <w:rPr>
          <w:rFonts w:ascii="黑体" w:eastAsia="黑体"/>
          <w:sz w:val="32"/>
          <w:szCs w:val="32"/>
        </w:rPr>
        <w:t>九、财政拨款“三公”经费支出决算情况说明</w:t>
      </w:r>
    </w:p>
    <w:p w14:paraId="3FABE91F">
      <w:pPr>
        <w:widowControl/>
        <w:ind w:firstLine="640" w:firstLineChars="200"/>
        <w:rPr>
          <w:rFonts w:ascii="仿宋_GB2312" w:eastAsia="仿宋_GB2312"/>
          <w:sz w:val="32"/>
          <w:szCs w:val="32"/>
        </w:rPr>
      </w:pPr>
      <w:r>
        <w:rPr>
          <w:rFonts w:ascii="仿宋_GB2312" w:eastAsia="仿宋_GB2312"/>
          <w:sz w:val="32"/>
          <w:szCs w:val="32"/>
        </w:rPr>
        <w:t>2025年度财政拨款“三公”经费支出0.00万元，比上年增加0.00万元，增长0.00%，主要原因是：2024年与2025年均未安排“三公”经费。其中：因公出国（境）费用支出0.00万元,占0.00%，比上年增加0.00万元，增长0.00%，主要原因是：2024年与2025年均未安排因公出国（境）费用；公务用车购置及运行维护费支出0.00万元，占0.00%，比上年增加0.00万元，增长0.00%，主要原因是：</w:t>
      </w:r>
      <w:r>
        <w:rPr>
          <w:rFonts w:hint="eastAsia" w:ascii="仿宋_GB2312" w:eastAsia="仿宋_GB2312"/>
          <w:sz w:val="32"/>
          <w:szCs w:val="32"/>
          <w:lang w:val="en-US" w:eastAsia="zh-CN"/>
        </w:rPr>
        <w:t>2</w:t>
      </w:r>
      <w:r>
        <w:rPr>
          <w:rFonts w:ascii="仿宋_GB2312" w:eastAsia="仿宋_GB2312"/>
          <w:sz w:val="32"/>
          <w:szCs w:val="32"/>
        </w:rPr>
        <w:t>024年与2025年均未安排公务用车购置及运行维护费；公务接待费支出0.00万元，占0.00%，比上年增加0.00万元，增长0.00%，主要原因是：2024年与2025年均未安排公务接待费。</w:t>
      </w:r>
    </w:p>
    <w:p w14:paraId="6A231CA6">
      <w:pPr>
        <w:widowControl/>
        <w:ind w:firstLine="640" w:firstLineChars="200"/>
        <w:jc w:val="left"/>
        <w:rPr>
          <w:rFonts w:ascii="仿宋_GB2312" w:eastAsia="仿宋_GB2312"/>
          <w:sz w:val="32"/>
          <w:szCs w:val="32"/>
        </w:rPr>
      </w:pPr>
      <w:r>
        <w:rPr>
          <w:rFonts w:ascii="仿宋_GB2312" w:eastAsia="仿宋_GB2312"/>
          <w:sz w:val="32"/>
          <w:szCs w:val="32"/>
        </w:rPr>
        <w:t>具体情况如下：</w:t>
      </w:r>
    </w:p>
    <w:p w14:paraId="41710C48">
      <w:pPr>
        <w:widowControl/>
        <w:ind w:firstLine="640" w:firstLineChars="200"/>
        <w:rPr>
          <w:rFonts w:ascii="仿宋_GB2312" w:eastAsia="仿宋_GB2312"/>
          <w:sz w:val="32"/>
          <w:szCs w:val="32"/>
        </w:rPr>
      </w:pPr>
      <w:r>
        <w:rPr>
          <w:rFonts w:ascii="仿宋_GB2312" w:eastAsia="仿宋_GB2312"/>
          <w:sz w:val="32"/>
          <w:szCs w:val="32"/>
        </w:rPr>
        <w:t>因公出国（境）费用0.00万元，开支内容包括本年度未发生因公出国（境）费用支出。单位全年安排的因公出国（境）团组0个，因公出国（境）0人次。</w:t>
      </w:r>
    </w:p>
    <w:p w14:paraId="79119187">
      <w:pPr>
        <w:widowControl/>
        <w:ind w:firstLine="640" w:firstLineChars="200"/>
        <w:rPr>
          <w:rFonts w:ascii="仿宋_GB2312" w:eastAsia="仿宋_GB2312"/>
          <w:sz w:val="32"/>
          <w:szCs w:val="32"/>
        </w:rPr>
      </w:pPr>
      <w:r>
        <w:rPr>
          <w:rFonts w:ascii="仿宋_GB2312" w:eastAsia="仿宋_GB2312"/>
          <w:sz w:val="32"/>
          <w:szCs w:val="32"/>
        </w:rPr>
        <w:t>公务用车购置及运行维护费0.00万元，其中：公务用车购置费0.00万元，公务用车运行维护费0.00万元。公务用车运行维护费开支内容包括本年度未发生公务用车运行维护费开支。公务用车购置数0辆，公务用车保有量0辆。国有资产占用情况中固定资产车辆1辆，与公务用车保有量差异原因是：固定资产车辆</w:t>
      </w:r>
      <w:r>
        <w:rPr>
          <w:rFonts w:hint="eastAsia" w:ascii="仿宋_GB2312" w:eastAsia="仿宋_GB2312"/>
          <w:sz w:val="32"/>
          <w:szCs w:val="32"/>
          <w:lang w:eastAsia="zh-CN"/>
        </w:rPr>
        <w:t>为</w:t>
      </w:r>
      <w:r>
        <w:rPr>
          <w:rFonts w:hint="eastAsia" w:ascii="仿宋_GB2312" w:eastAsia="仿宋_GB2312"/>
          <w:sz w:val="32"/>
          <w:szCs w:val="32"/>
          <w:lang w:val="en-US" w:eastAsia="zh-CN"/>
        </w:rPr>
        <w:t>业务</w:t>
      </w:r>
      <w:r>
        <w:rPr>
          <w:rFonts w:ascii="仿宋_GB2312" w:eastAsia="仿宋_GB2312"/>
          <w:sz w:val="32"/>
          <w:szCs w:val="32"/>
        </w:rPr>
        <w:t>用车，</w:t>
      </w:r>
      <w:r>
        <w:rPr>
          <w:rFonts w:hint="eastAsia" w:ascii="仿宋_GB2312" w:eastAsia="仿宋_GB2312"/>
          <w:sz w:val="32"/>
          <w:szCs w:val="32"/>
          <w:lang w:val="en-US" w:eastAsia="zh-CN"/>
        </w:rPr>
        <w:t>经费由</w:t>
      </w:r>
      <w:r>
        <w:rPr>
          <w:rFonts w:ascii="仿宋_GB2312" w:eastAsia="仿宋_GB2312"/>
          <w:sz w:val="32"/>
          <w:szCs w:val="32"/>
        </w:rPr>
        <w:t>其他交通费</w:t>
      </w:r>
      <w:r>
        <w:rPr>
          <w:rFonts w:hint="eastAsia" w:ascii="仿宋_GB2312" w:eastAsia="仿宋_GB2312"/>
          <w:sz w:val="32"/>
          <w:szCs w:val="32"/>
          <w:lang w:val="en-US" w:eastAsia="zh-CN"/>
        </w:rPr>
        <w:t>保障</w:t>
      </w:r>
      <w:r>
        <w:rPr>
          <w:rFonts w:ascii="仿宋_GB2312" w:eastAsia="仿宋_GB2312"/>
          <w:sz w:val="32"/>
          <w:szCs w:val="32"/>
        </w:rPr>
        <w:t>。</w:t>
      </w:r>
    </w:p>
    <w:p w14:paraId="3C14B4CD">
      <w:pPr>
        <w:widowControl/>
        <w:ind w:firstLine="640" w:firstLineChars="200"/>
        <w:rPr>
          <w:rFonts w:ascii="仿宋_GB2312" w:eastAsia="仿宋_GB2312"/>
          <w:sz w:val="32"/>
          <w:szCs w:val="32"/>
        </w:rPr>
      </w:pPr>
      <w:r>
        <w:rPr>
          <w:rFonts w:ascii="仿宋_GB2312" w:eastAsia="仿宋_GB2312"/>
          <w:sz w:val="32"/>
          <w:szCs w:val="32"/>
        </w:rPr>
        <w:t>公务接待费0.00万元，开支内容包括本年度未发生公务接待费支出。单位全年安排的国内公务接待0批次，0人次。</w:t>
      </w:r>
    </w:p>
    <w:p w14:paraId="2399B1B2">
      <w:pPr>
        <w:widowControl/>
        <w:ind w:firstLine="640" w:firstLineChars="200"/>
        <w:rPr>
          <w:rFonts w:ascii="仿宋_GB2312" w:eastAsia="仿宋_GB2312"/>
          <w:sz w:val="32"/>
          <w:szCs w:val="32"/>
        </w:rPr>
      </w:pPr>
      <w:r>
        <w:rPr>
          <w:rFonts w:ascii="仿宋_GB2312" w:eastAsia="仿宋_GB2312"/>
          <w:sz w:val="32"/>
          <w:szCs w:val="32"/>
        </w:rPr>
        <w:t>与全年预算相比，财政拨款“三公”经费支出全年预算数0.00万元，决算数0.00万元，预决算差异率0.00%，主要原因是：我中心无财政拨款“三公”经费支出。其中：因公出国（境）费用全年预算数0.00万元，决算数0.00万元，预决算差异率0.00%，主要原因是：我中心无因公出国（境）费支出；公务用车购置费全年预算数0.00万元，决算数0.00万元，预决算差异率0.00%，主要原因是：我中心无公务用车购置费支出；公务用车运行维护费全年预算数0.00万元，决算数0.00万元，预决算差异率0.00%，主要原因是：我中心无公务用车运行维护费支出；公务接待费全年预算数0.00万元，决算数0.00万元，预决算差异率0.00%，主要原因是：我中心无公务接待费支出。</w:t>
      </w:r>
    </w:p>
    <w:p w14:paraId="7C1943A0">
      <w:pPr>
        <w:widowControl/>
        <w:ind w:firstLine="640" w:firstLineChars="200"/>
        <w:jc w:val="left"/>
        <w:outlineLvl w:val="1"/>
        <w:rPr>
          <w:rFonts w:ascii="黑体" w:eastAsia="黑体"/>
          <w:sz w:val="32"/>
          <w:szCs w:val="32"/>
        </w:rPr>
      </w:pPr>
      <w:r>
        <w:rPr>
          <w:rFonts w:ascii="黑体" w:eastAsia="黑体"/>
          <w:sz w:val="32"/>
          <w:szCs w:val="32"/>
        </w:rPr>
        <w:t>十、其他重要事项的情况说明</w:t>
      </w:r>
    </w:p>
    <w:p w14:paraId="29B1F1BF">
      <w:pPr>
        <w:widowControl/>
        <w:ind w:firstLine="640" w:firstLineChars="200"/>
        <w:jc w:val="left"/>
        <w:outlineLvl w:val="2"/>
        <w:rPr>
          <w:rFonts w:ascii="黑体" w:eastAsia="黑体"/>
          <w:sz w:val="32"/>
          <w:szCs w:val="32"/>
        </w:rPr>
      </w:pPr>
      <w:r>
        <w:rPr>
          <w:rFonts w:ascii="黑体" w:eastAsia="黑体"/>
          <w:sz w:val="32"/>
          <w:szCs w:val="32"/>
        </w:rPr>
        <w:t>（一）机关运行经费及公用经费支出情况</w:t>
      </w:r>
    </w:p>
    <w:p w14:paraId="0319C8F7">
      <w:pPr>
        <w:widowControl/>
        <w:ind w:firstLine="640" w:firstLineChars="200"/>
        <w:rPr>
          <w:rFonts w:ascii="仿宋_GB2312" w:eastAsia="仿宋_GB2312"/>
          <w:sz w:val="32"/>
          <w:szCs w:val="32"/>
        </w:rPr>
      </w:pPr>
      <w:r>
        <w:rPr>
          <w:rFonts w:ascii="仿宋_GB2312" w:eastAsia="仿宋_GB2312"/>
          <w:sz w:val="32"/>
          <w:szCs w:val="32"/>
        </w:rPr>
        <w:t>2025年度新疆维吾尔自治区地质成果中心（事业单位）公用经费支出29.03万元，比上年增加17.54万元，增长152.65%，主要原因是：我中心2025年新入职20人，人员较上年增加，公用经费较上年增加。</w:t>
      </w:r>
    </w:p>
    <w:p w14:paraId="30215CBF">
      <w:pPr>
        <w:widowControl/>
        <w:ind w:firstLine="640" w:firstLineChars="200"/>
        <w:jc w:val="left"/>
        <w:outlineLvl w:val="2"/>
        <w:rPr>
          <w:rFonts w:ascii="黑体" w:eastAsia="黑体"/>
          <w:sz w:val="32"/>
          <w:szCs w:val="32"/>
        </w:rPr>
      </w:pPr>
      <w:r>
        <w:rPr>
          <w:rFonts w:ascii="黑体" w:eastAsia="黑体"/>
          <w:sz w:val="32"/>
          <w:szCs w:val="32"/>
        </w:rPr>
        <w:t>（二）政府采购情况</w:t>
      </w:r>
    </w:p>
    <w:p w14:paraId="00915F7A">
      <w:pPr>
        <w:widowControl/>
        <w:ind w:firstLine="640" w:firstLineChars="200"/>
        <w:rPr>
          <w:rFonts w:ascii="仿宋_GB2312" w:eastAsia="仿宋_GB2312"/>
          <w:sz w:val="32"/>
          <w:szCs w:val="32"/>
        </w:rPr>
      </w:pPr>
      <w:r>
        <w:rPr>
          <w:rFonts w:ascii="仿宋_GB2312" w:eastAsia="仿宋_GB2312"/>
          <w:sz w:val="32"/>
          <w:szCs w:val="32"/>
        </w:rPr>
        <w:t>2025年度政府采购支出总额204.44万元，其中：政府采购货物支出37.19万元、政府采购工程支出0.00万元、政府采购服务支出167.25万元。</w:t>
      </w:r>
    </w:p>
    <w:p w14:paraId="2EDD9958">
      <w:pPr>
        <w:widowControl/>
        <w:ind w:firstLine="640" w:firstLineChars="200"/>
        <w:rPr>
          <w:rFonts w:ascii="仿宋_GB2312" w:eastAsia="仿宋_GB2312"/>
          <w:sz w:val="32"/>
          <w:szCs w:val="32"/>
        </w:rPr>
      </w:pPr>
      <w:r>
        <w:rPr>
          <w:rFonts w:ascii="仿宋_GB2312" w:eastAsia="仿宋_GB2312"/>
          <w:sz w:val="32"/>
          <w:szCs w:val="32"/>
        </w:rPr>
        <w:t>授予中小企业合同金额176.28万元，占政府采购支出总额的86.23%，其中：授予小微企业合同金额176.28万元，占政府采购支出总额的86.23%。</w:t>
      </w:r>
    </w:p>
    <w:p w14:paraId="294BF4BA">
      <w:pPr>
        <w:widowControl/>
        <w:ind w:firstLine="640" w:firstLineChars="200"/>
        <w:jc w:val="left"/>
        <w:outlineLvl w:val="2"/>
        <w:rPr>
          <w:rFonts w:ascii="黑体" w:eastAsia="黑体"/>
          <w:sz w:val="32"/>
          <w:szCs w:val="32"/>
        </w:rPr>
      </w:pPr>
      <w:r>
        <w:rPr>
          <w:rFonts w:ascii="黑体" w:eastAsia="黑体"/>
          <w:sz w:val="32"/>
          <w:szCs w:val="32"/>
        </w:rPr>
        <w:t>（三）国有资产占用情况说明</w:t>
      </w:r>
    </w:p>
    <w:p w14:paraId="003525C8">
      <w:pPr>
        <w:widowControl/>
        <w:ind w:firstLine="640" w:firstLineChars="200"/>
        <w:rPr>
          <w:rFonts w:ascii="仿宋_GB2312" w:eastAsia="仿宋_GB2312"/>
          <w:sz w:val="32"/>
          <w:szCs w:val="32"/>
        </w:rPr>
      </w:pPr>
      <w:r>
        <w:rPr>
          <w:rFonts w:ascii="仿宋_GB2312" w:eastAsia="仿宋_GB2312"/>
          <w:sz w:val="32"/>
          <w:szCs w:val="32"/>
        </w:rPr>
        <w:t>截至2025年12月31日，房屋0.00平方米，价值0.00万元。车辆1辆，价值43.98万元，其中：副部（省）级及以上领导用车0辆、主要负责人用车0辆、机要通信用车0辆、应急保障用车0辆、执法执勤用车0辆、特种专业技术用车0辆、离退休干部服务用车0辆、其他用车1辆，其他用车主要是：</w:t>
      </w:r>
      <w:r>
        <w:rPr>
          <w:rFonts w:hint="eastAsia" w:ascii="仿宋_GB2312" w:eastAsia="仿宋_GB2312"/>
          <w:sz w:val="32"/>
          <w:szCs w:val="32"/>
          <w:lang w:eastAsia="zh-CN"/>
        </w:rPr>
        <w:t>业务用车</w:t>
      </w:r>
      <w:r>
        <w:rPr>
          <w:rFonts w:ascii="仿宋_GB2312" w:eastAsia="仿宋_GB2312"/>
          <w:sz w:val="32"/>
          <w:szCs w:val="32"/>
        </w:rPr>
        <w:t>;单价100万元（含）以上设备（不含车辆）0台（套）。</w:t>
      </w:r>
      <w:bookmarkStart w:id="0" w:name="_GoBack"/>
      <w:bookmarkEnd w:id="0"/>
    </w:p>
    <w:p w14:paraId="3D44E89C">
      <w:pPr>
        <w:widowControl/>
        <w:ind w:firstLine="640" w:firstLineChars="200"/>
        <w:jc w:val="left"/>
        <w:outlineLvl w:val="1"/>
        <w:rPr>
          <w:rFonts w:ascii="黑体" w:eastAsia="黑体"/>
          <w:sz w:val="32"/>
          <w:szCs w:val="32"/>
        </w:rPr>
      </w:pPr>
      <w:r>
        <w:rPr>
          <w:rFonts w:ascii="黑体" w:eastAsia="黑体"/>
          <w:sz w:val="32"/>
          <w:szCs w:val="32"/>
        </w:rPr>
        <w:t>十一、预算绩效的情况说明</w:t>
      </w:r>
    </w:p>
    <w:p w14:paraId="54348022">
      <w:pPr>
        <w:widowControl/>
        <w:ind w:firstLine="640" w:firstLineChars="200"/>
        <w:rPr>
          <w:rFonts w:ascii="仿宋_GB2312" w:eastAsia="仿宋_GB2312"/>
          <w:sz w:val="32"/>
          <w:szCs w:val="32"/>
        </w:rPr>
      </w:pPr>
      <w:r>
        <w:rPr>
          <w:rFonts w:ascii="仿宋_GB2312" w:eastAsia="仿宋_GB2312"/>
          <w:sz w:val="32"/>
          <w:szCs w:val="32"/>
        </w:rPr>
        <w:t>根据预算绩效管理要求，本单位2025年度预算绩效评价项目2个，全年预算数1,400.00万元，全年执行数933.88万元。预算绩效管理取得的成效：一是单位领导对绩效监控工作重视程度有所提高；二是预算绩效指标在一定程度上起到了指挥棒作用，督促单位内部各部门用心谋划各项工作和加强沟通配合；三是单位财务在部门整体支出的资金安排和使用上更有可预见性。发现的问题及原因：一是预算工作编制时，对绩效考核年度指标设立的科学合理性有待提高。原因是对工作计划研究得不透彻；二是预算工作编制的质量不高，执行过程中存在偏差。原因是对预算管理相关规定在学习时有所欠缺，业务不太熟练并且预算执行中存在的问题研究得不够。下一步改进措施：一是在工作中进一步加强对绩效目标监控的重视，定期对预算执行情况进行监督，实行绩效目标监控表和财务工作挂钩，做到及时监控，及时控制，避免疏忽；二是加强评审中心内部各部门衔接，使预算绩效目标实施进度得到及时反馈，便于及时汇总监控。三是设置合理有效的绩效目标监控机制，科学设置预算绩效指标，合理安排经费和各项资金，更加贴合项目实施的实际情况。具体附项目支出绩效自评表。</w:t>
      </w:r>
    </w:p>
    <w:p w14:paraId="150A5248">
      <w:pPr>
        <w:widowControl/>
        <w:ind w:firstLine="640" w:firstLineChars="200"/>
        <w:jc w:val="left"/>
        <w:outlineLvl w:val="1"/>
        <w:rPr>
          <w:rFonts w:ascii="黑体" w:eastAsia="黑体"/>
          <w:sz w:val="32"/>
          <w:szCs w:val="32"/>
        </w:rPr>
      </w:pPr>
      <w:r>
        <w:rPr>
          <w:rFonts w:ascii="黑体" w:eastAsia="黑体"/>
          <w:sz w:val="32"/>
          <w:szCs w:val="32"/>
        </w:rPr>
        <w:t>十二、其他需说明的事项</w:t>
      </w:r>
    </w:p>
    <w:p w14:paraId="70B22C0F">
      <w:pPr>
        <w:widowControl/>
        <w:ind w:firstLine="640" w:firstLineChars="200"/>
        <w:rPr>
          <w:rFonts w:ascii="仿宋_GB2312" w:eastAsia="仿宋_GB2312"/>
          <w:sz w:val="32"/>
          <w:szCs w:val="32"/>
        </w:rPr>
      </w:pPr>
      <w:r>
        <w:rPr>
          <w:rFonts w:ascii="仿宋_GB2312" w:eastAsia="仿宋_GB2312"/>
          <w:sz w:val="32"/>
          <w:szCs w:val="32"/>
        </w:rPr>
        <w:t>本单位无其他需说明的事项。</w:t>
      </w:r>
    </w:p>
    <w:p w14:paraId="7FF7B5EE">
      <w:pPr>
        <w:widowControl/>
        <w:ind w:firstLine="640" w:firstLineChars="200"/>
        <w:jc w:val="left"/>
        <w:rPr>
          <w:rFonts w:ascii="仿宋_GB2312" w:eastAsia="仿宋_GB2312"/>
          <w:sz w:val="32"/>
          <w:szCs w:val="32"/>
        </w:rPr>
      </w:pPr>
    </w:p>
    <w:p w14:paraId="0A5BD284">
      <w:pPr>
        <w:widowControl/>
      </w:pPr>
      <w:r>
        <w:rPr>
          <w:sz w:val="0"/>
          <w:szCs w:val="0"/>
        </w:rPr>
        <w:br w:type="page"/>
      </w:r>
    </w:p>
    <w:p w14:paraId="41633FFA">
      <w:pPr>
        <w:widowControl/>
        <w:jc w:val="center"/>
        <w:outlineLvl w:val="0"/>
        <w:rPr>
          <w:rFonts w:ascii="黑体" w:eastAsia="黑体"/>
          <w:sz w:val="32"/>
          <w:szCs w:val="32"/>
        </w:rPr>
      </w:pPr>
      <w:r>
        <w:rPr>
          <w:rFonts w:ascii="黑体" w:eastAsia="黑体"/>
          <w:sz w:val="32"/>
          <w:szCs w:val="32"/>
        </w:rPr>
        <w:t>第三部分 专业名词解释</w:t>
      </w:r>
    </w:p>
    <w:p w14:paraId="421DD40D">
      <w:pPr>
        <w:widowControl/>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sz w:val="32"/>
          <w:szCs w:val="32"/>
        </w:rPr>
        <w:t>指单位本年度从同级财政部门取得的财政拨款，包括一般公共预算财政拨款、政府性基金预算财政拨款和国有资本经营预算财政拨款。</w:t>
      </w:r>
    </w:p>
    <w:p w14:paraId="5CF7B33B">
      <w:pPr>
        <w:widowControl/>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sz w:val="32"/>
          <w:szCs w:val="32"/>
        </w:rPr>
        <w:t>指事业单位从主管部门和上级单位取得的非财政补助收入。</w:t>
      </w:r>
    </w:p>
    <w:p w14:paraId="1637224A">
      <w:pPr>
        <w:widowControl/>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sz w:val="32"/>
          <w:szCs w:val="32"/>
        </w:rPr>
        <w:t>指事业单位开展专业业务活动及其辅助活动取得的收入。</w:t>
      </w:r>
    </w:p>
    <w:p w14:paraId="22D1DC75">
      <w:pPr>
        <w:widowControl/>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sz w:val="32"/>
          <w:szCs w:val="32"/>
        </w:rPr>
        <w:t>指事业单位在专业业务活动及其辅助活动之外开展非独立核算经营活动取得的收入。</w:t>
      </w:r>
    </w:p>
    <w:p w14:paraId="227F1B2B">
      <w:pPr>
        <w:widowControl/>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sz w:val="32"/>
          <w:szCs w:val="32"/>
        </w:rPr>
        <w:t>指事业单位附属独立核算单位按照有关规定上缴的收入。</w:t>
      </w:r>
    </w:p>
    <w:p w14:paraId="47BD8192">
      <w:pPr>
        <w:widowControl/>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sz w:val="32"/>
          <w:szCs w:val="32"/>
        </w:rPr>
        <w:t>指单位取得的除上述“财政拨款收入”“上级补助收入”“事业收入”“经营收入”“附属单位上缴收入”以外的各项收入。</w:t>
      </w:r>
    </w:p>
    <w:p w14:paraId="4368C454">
      <w:pPr>
        <w:widowControl/>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sz w:val="32"/>
          <w:szCs w:val="32"/>
        </w:rPr>
        <w:t>指单位上年结转本年使用的基本支出结转、项目支出结转和结余、经营结余。</w:t>
      </w:r>
    </w:p>
    <w:p w14:paraId="2EFFF86B">
      <w:pPr>
        <w:widowControl/>
        <w:ind w:firstLine="643" w:firstLineChars="200"/>
        <w:jc w:val="left"/>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sz w:val="32"/>
          <w:szCs w:val="32"/>
        </w:rPr>
        <w:t>指单位按照预算管理要求使用非财政拨款结余弥补收支差额的金额，以及使用专用结余安排支出的金额。</w:t>
      </w:r>
    </w:p>
    <w:p w14:paraId="11319038">
      <w:pPr>
        <w:widowControl/>
        <w:ind w:firstLine="643" w:firstLineChars="200"/>
        <w:jc w:val="left"/>
        <w:rPr>
          <w:rFonts w:ascii="仿宋_GB2312" w:eastAsia="仿宋_GB2312"/>
          <w:sz w:val="32"/>
          <w:szCs w:val="32"/>
        </w:rPr>
      </w:pPr>
      <w:r>
        <w:rPr>
          <w:rFonts w:ascii="仿宋_GB2312" w:eastAsia="仿宋_GB2312"/>
          <w:b/>
          <w:sz w:val="32"/>
          <w:szCs w:val="32"/>
        </w:rPr>
        <w:t>九、结余分配</w:t>
      </w:r>
      <w:r>
        <w:rPr>
          <w:rFonts w:ascii="仿宋_GB2312" w:eastAsia="仿宋_GB2312"/>
          <w:sz w:val="32"/>
          <w:szCs w:val="32"/>
        </w:rPr>
        <w:t>：指单位缴纳企业所得税以及从非财政拨款结余或经营结余中提取各类结余的情况。</w:t>
      </w:r>
    </w:p>
    <w:p w14:paraId="62A1E49F">
      <w:pPr>
        <w:widowControl/>
        <w:ind w:firstLine="643" w:firstLineChars="200"/>
        <w:jc w:val="left"/>
        <w:rPr>
          <w:rFonts w:ascii="仿宋_GB2312" w:eastAsia="仿宋_GB2312"/>
          <w:sz w:val="32"/>
          <w:szCs w:val="32"/>
        </w:rPr>
      </w:pPr>
      <w:r>
        <w:rPr>
          <w:rFonts w:ascii="仿宋_GB2312" w:eastAsia="仿宋_GB2312"/>
          <w:b/>
          <w:sz w:val="32"/>
          <w:szCs w:val="32"/>
        </w:rPr>
        <w:t>十、年末结转和结余</w:t>
      </w:r>
      <w:r>
        <w:rPr>
          <w:rFonts w:ascii="仿宋_GB2312" w:eastAsia="仿宋_GB2312"/>
          <w:sz w:val="32"/>
          <w:szCs w:val="32"/>
        </w:rPr>
        <w:t>：指单位结转下年的基本支出结转、项目支出结转和结余、经营结余。</w:t>
      </w:r>
    </w:p>
    <w:p w14:paraId="47E12487">
      <w:pPr>
        <w:widowControl/>
        <w:ind w:firstLine="643" w:firstLineChars="200"/>
        <w:jc w:val="left"/>
        <w:rPr>
          <w:rFonts w:ascii="仿宋_GB2312" w:eastAsia="仿宋_GB2312"/>
          <w:sz w:val="32"/>
          <w:szCs w:val="32"/>
        </w:rPr>
      </w:pPr>
      <w:r>
        <w:rPr>
          <w:rFonts w:ascii="仿宋_GB2312" w:eastAsia="仿宋_GB2312"/>
          <w:b/>
          <w:sz w:val="32"/>
          <w:szCs w:val="32"/>
        </w:rPr>
        <w:t>十一、基本支出</w:t>
      </w:r>
      <w:r>
        <w:rPr>
          <w:rFonts w:ascii="仿宋_GB2312" w:eastAsia="仿宋_GB2312"/>
          <w:sz w:val="32"/>
          <w:szCs w:val="32"/>
        </w:rPr>
        <w:t>：指单位为保障机构正常运转、完成日常工作任务而发生的各项支出。</w:t>
      </w:r>
    </w:p>
    <w:p w14:paraId="02F9A5F1">
      <w:pPr>
        <w:widowControl/>
        <w:ind w:firstLine="643" w:firstLineChars="200"/>
        <w:jc w:val="left"/>
        <w:rPr>
          <w:rFonts w:ascii="仿宋_GB2312" w:eastAsia="仿宋_GB2312"/>
          <w:sz w:val="32"/>
          <w:szCs w:val="32"/>
        </w:rPr>
      </w:pPr>
      <w:r>
        <w:rPr>
          <w:rFonts w:ascii="仿宋_GB2312" w:eastAsia="仿宋_GB2312"/>
          <w:b/>
          <w:sz w:val="32"/>
          <w:szCs w:val="32"/>
        </w:rPr>
        <w:t>十二、项目支出：</w:t>
      </w:r>
      <w:r>
        <w:rPr>
          <w:rFonts w:ascii="仿宋_GB2312" w:eastAsia="仿宋_GB2312"/>
          <w:sz w:val="32"/>
          <w:szCs w:val="32"/>
        </w:rPr>
        <w:t>指单位为完成特定的行政工作任务或事业发展目标，在基本支出之外发生的各项支出。</w:t>
      </w:r>
    </w:p>
    <w:p w14:paraId="3460D63E">
      <w:pPr>
        <w:widowControl/>
        <w:ind w:firstLine="643" w:firstLineChars="200"/>
        <w:jc w:val="left"/>
        <w:rPr>
          <w:rFonts w:ascii="仿宋_GB2312" w:eastAsia="仿宋_GB2312"/>
          <w:sz w:val="32"/>
          <w:szCs w:val="32"/>
        </w:rPr>
      </w:pPr>
      <w:r>
        <w:rPr>
          <w:rFonts w:ascii="仿宋_GB2312" w:eastAsia="仿宋_GB2312"/>
          <w:b/>
          <w:sz w:val="32"/>
          <w:szCs w:val="32"/>
        </w:rPr>
        <w:t>十三、上缴上级支出：</w:t>
      </w:r>
      <w:r>
        <w:rPr>
          <w:rFonts w:ascii="仿宋_GB2312" w:eastAsia="仿宋_GB2312"/>
          <w:sz w:val="32"/>
          <w:szCs w:val="32"/>
        </w:rPr>
        <w:t>指事业单位按照财政部门和主管部门的规定上缴上级单位的支出。</w:t>
      </w:r>
    </w:p>
    <w:p w14:paraId="6D7C5E96">
      <w:pPr>
        <w:widowControl/>
        <w:ind w:firstLine="643" w:firstLineChars="200"/>
        <w:jc w:val="left"/>
        <w:rPr>
          <w:rFonts w:ascii="仿宋_GB2312" w:eastAsia="仿宋_GB2312"/>
          <w:sz w:val="32"/>
          <w:szCs w:val="32"/>
        </w:rPr>
      </w:pPr>
      <w:r>
        <w:rPr>
          <w:rFonts w:ascii="仿宋_GB2312" w:eastAsia="仿宋_GB2312"/>
          <w:b/>
          <w:sz w:val="32"/>
          <w:szCs w:val="32"/>
        </w:rPr>
        <w:t>十四、经营支出：</w:t>
      </w:r>
      <w:r>
        <w:rPr>
          <w:rFonts w:ascii="仿宋_GB2312" w:eastAsia="仿宋_GB2312"/>
          <w:sz w:val="32"/>
          <w:szCs w:val="32"/>
        </w:rPr>
        <w:t>指事业单位在专业活动及辅助活动之外开展非独立核算经营活动发生的支出。</w:t>
      </w:r>
    </w:p>
    <w:p w14:paraId="52AD5CA6">
      <w:pPr>
        <w:widowControl/>
        <w:ind w:firstLine="643" w:firstLineChars="200"/>
        <w:jc w:val="left"/>
        <w:rPr>
          <w:rFonts w:ascii="宋体" w:eastAsia="仿宋_GB2312"/>
          <w:sz w:val="32"/>
          <w:szCs w:val="32"/>
        </w:rPr>
      </w:pPr>
      <w:r>
        <w:rPr>
          <w:rFonts w:ascii="宋体" w:eastAsia="仿宋_GB2312"/>
          <w:b/>
          <w:sz w:val="32"/>
          <w:szCs w:val="32"/>
        </w:rPr>
        <w:t>十五、对附属单位补助支出：</w:t>
      </w:r>
      <w:r>
        <w:rPr>
          <w:rFonts w:ascii="宋体" w:eastAsia="仿宋_GB2312"/>
          <w:sz w:val="32"/>
          <w:szCs w:val="32"/>
        </w:rPr>
        <w:t>指事业单位用财政补助收入之外的收入对附属单位补助发生的支出。</w:t>
      </w:r>
    </w:p>
    <w:p w14:paraId="0A5DE0CD">
      <w:pPr>
        <w:widowControl/>
        <w:ind w:firstLine="643" w:firstLineChars="200"/>
        <w:jc w:val="left"/>
        <w:rPr>
          <w:rFonts w:ascii="仿宋_GB2312" w:eastAsia="仿宋_GB2312"/>
          <w:sz w:val="32"/>
          <w:szCs w:val="32"/>
        </w:rPr>
      </w:pPr>
      <w:r>
        <w:rPr>
          <w:rFonts w:ascii="仿宋_GB2312" w:eastAsia="仿宋_GB2312"/>
          <w:b/>
          <w:sz w:val="32"/>
          <w:szCs w:val="32"/>
        </w:rPr>
        <w:t>十六、“三公”经费：</w:t>
      </w:r>
      <w:r>
        <w:rPr>
          <w:rFonts w:ascii="仿宋_GB2312" w:eastAsia="仿宋_GB2312"/>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30D5DB62">
      <w:pPr>
        <w:widowControl/>
        <w:ind w:firstLine="643" w:firstLineChars="200"/>
        <w:jc w:val="left"/>
        <w:rPr>
          <w:rFonts w:ascii="仿宋_GB2312" w:eastAsia="仿宋_GB2312"/>
          <w:sz w:val="32"/>
          <w:szCs w:val="32"/>
        </w:rPr>
      </w:pPr>
      <w:r>
        <w:rPr>
          <w:rFonts w:ascii="仿宋_GB2312" w:eastAsia="仿宋_GB2312"/>
          <w:b/>
          <w:sz w:val="32"/>
          <w:szCs w:val="32"/>
        </w:rPr>
        <w:t>十七、机关运行经费：</w:t>
      </w:r>
      <w:r>
        <w:rPr>
          <w:rFonts w:ascii="仿宋_GB2312" w:eastAsia="仿宋_GB2312"/>
          <w:sz w:val="32"/>
          <w:szCs w:val="32"/>
        </w:rPr>
        <w:t>指行政单位和参照公务员法管理的事业单位财政拨款基本支出中的公用经费支出。</w:t>
      </w:r>
    </w:p>
    <w:p w14:paraId="03C50CC6">
      <w:pPr>
        <w:widowControl/>
      </w:pPr>
      <w:r>
        <w:rPr>
          <w:sz w:val="0"/>
          <w:szCs w:val="0"/>
        </w:rPr>
        <w:br w:type="page"/>
      </w:r>
    </w:p>
    <w:p w14:paraId="0FA32689">
      <w:pPr>
        <w:widowControl/>
        <w:jc w:val="center"/>
        <w:outlineLvl w:val="0"/>
        <w:rPr>
          <w:rFonts w:ascii="黑体" w:eastAsia="黑体"/>
          <w:sz w:val="32"/>
          <w:szCs w:val="32"/>
        </w:rPr>
      </w:pPr>
      <w:r>
        <w:rPr>
          <w:rFonts w:ascii="黑体" w:eastAsia="黑体"/>
          <w:sz w:val="32"/>
          <w:szCs w:val="32"/>
        </w:rPr>
        <w:t>第四部分 部门决算报表（见附表）</w:t>
      </w:r>
    </w:p>
    <w:p w14:paraId="62EC6AF5">
      <w:pPr>
        <w:widowControl/>
        <w:ind w:firstLine="640" w:firstLineChars="200"/>
        <w:jc w:val="left"/>
        <w:outlineLvl w:val="1"/>
        <w:rPr>
          <w:rFonts w:ascii="仿宋_GB2312" w:eastAsia="仿宋_GB2312"/>
          <w:sz w:val="32"/>
          <w:szCs w:val="32"/>
        </w:rPr>
      </w:pPr>
      <w:r>
        <w:rPr>
          <w:rFonts w:ascii="仿宋_GB2312" w:eastAsia="仿宋_GB2312"/>
          <w:sz w:val="32"/>
          <w:szCs w:val="32"/>
        </w:rPr>
        <w:t>一、《收入支出决算总表》</w:t>
      </w:r>
    </w:p>
    <w:p w14:paraId="6B883C63">
      <w:pPr>
        <w:widowControl/>
        <w:ind w:firstLine="640" w:firstLineChars="200"/>
        <w:jc w:val="left"/>
        <w:outlineLvl w:val="1"/>
        <w:rPr>
          <w:rFonts w:ascii="仿宋_GB2312" w:eastAsia="仿宋_GB2312"/>
          <w:sz w:val="32"/>
          <w:szCs w:val="32"/>
        </w:rPr>
      </w:pPr>
      <w:r>
        <w:rPr>
          <w:rFonts w:ascii="仿宋_GB2312" w:eastAsia="仿宋_GB2312"/>
          <w:sz w:val="32"/>
          <w:szCs w:val="32"/>
        </w:rPr>
        <w:t>二、《收入决算表》</w:t>
      </w:r>
    </w:p>
    <w:p w14:paraId="246A696B">
      <w:pPr>
        <w:widowControl/>
        <w:ind w:firstLine="640" w:firstLineChars="200"/>
        <w:jc w:val="left"/>
        <w:outlineLvl w:val="1"/>
        <w:rPr>
          <w:rFonts w:ascii="仿宋_GB2312" w:eastAsia="仿宋_GB2312"/>
          <w:sz w:val="32"/>
          <w:szCs w:val="32"/>
        </w:rPr>
      </w:pPr>
      <w:r>
        <w:rPr>
          <w:rFonts w:ascii="仿宋_GB2312" w:eastAsia="仿宋_GB2312"/>
          <w:sz w:val="32"/>
          <w:szCs w:val="32"/>
        </w:rPr>
        <w:t>三、《支出决算表》</w:t>
      </w:r>
    </w:p>
    <w:p w14:paraId="1E0C5C1D">
      <w:pPr>
        <w:widowControl/>
        <w:ind w:firstLine="640" w:firstLineChars="200"/>
        <w:jc w:val="left"/>
        <w:outlineLvl w:val="1"/>
        <w:rPr>
          <w:rFonts w:ascii="仿宋_GB2312" w:eastAsia="仿宋_GB2312"/>
          <w:sz w:val="32"/>
          <w:szCs w:val="32"/>
        </w:rPr>
      </w:pPr>
      <w:r>
        <w:rPr>
          <w:rFonts w:ascii="仿宋_GB2312" w:eastAsia="仿宋_GB2312"/>
          <w:sz w:val="32"/>
          <w:szCs w:val="32"/>
        </w:rPr>
        <w:t>四、《财政拨款收入支出决算总表》</w:t>
      </w:r>
    </w:p>
    <w:p w14:paraId="38FFB36C">
      <w:pPr>
        <w:widowControl/>
        <w:ind w:firstLine="640" w:firstLineChars="200"/>
        <w:jc w:val="left"/>
        <w:outlineLvl w:val="1"/>
        <w:rPr>
          <w:rFonts w:ascii="仿宋_GB2312" w:eastAsia="仿宋_GB2312"/>
          <w:sz w:val="32"/>
          <w:szCs w:val="32"/>
        </w:rPr>
      </w:pPr>
      <w:r>
        <w:rPr>
          <w:rFonts w:ascii="仿宋_GB2312" w:eastAsia="仿宋_GB2312"/>
          <w:sz w:val="32"/>
          <w:szCs w:val="32"/>
        </w:rPr>
        <w:t>五、《一般公共预算财政拨款支出决算表》</w:t>
      </w:r>
    </w:p>
    <w:p w14:paraId="10CFAB42">
      <w:pPr>
        <w:widowControl/>
        <w:ind w:firstLine="640" w:firstLineChars="200"/>
        <w:jc w:val="left"/>
        <w:outlineLvl w:val="1"/>
        <w:rPr>
          <w:rFonts w:ascii="仿宋_GB2312" w:eastAsia="仿宋_GB2312"/>
          <w:sz w:val="32"/>
          <w:szCs w:val="32"/>
        </w:rPr>
      </w:pPr>
      <w:r>
        <w:rPr>
          <w:rFonts w:ascii="仿宋_GB2312" w:eastAsia="仿宋_GB2312"/>
          <w:sz w:val="32"/>
          <w:szCs w:val="32"/>
        </w:rPr>
        <w:t>六、《一般公共预算财政拨款基本支出决算表》</w:t>
      </w:r>
    </w:p>
    <w:p w14:paraId="2C934F6A">
      <w:pPr>
        <w:widowControl/>
        <w:ind w:firstLine="640" w:firstLineChars="200"/>
        <w:jc w:val="left"/>
        <w:outlineLvl w:val="1"/>
        <w:rPr>
          <w:rFonts w:ascii="仿宋_GB2312" w:eastAsia="仿宋_GB2312"/>
          <w:sz w:val="32"/>
          <w:szCs w:val="32"/>
        </w:rPr>
      </w:pPr>
      <w:r>
        <w:rPr>
          <w:rFonts w:ascii="仿宋_GB2312" w:eastAsia="仿宋_GB2312"/>
          <w:sz w:val="32"/>
          <w:szCs w:val="32"/>
        </w:rPr>
        <w:t>七、《政府性基金预算财政拨款收入支出决算表》</w:t>
      </w:r>
    </w:p>
    <w:p w14:paraId="36EC7333">
      <w:pPr>
        <w:widowControl/>
        <w:ind w:firstLine="640" w:firstLineChars="200"/>
        <w:jc w:val="left"/>
        <w:outlineLvl w:val="1"/>
        <w:rPr>
          <w:rFonts w:ascii="仿宋_GB2312" w:eastAsia="仿宋_GB2312"/>
          <w:sz w:val="32"/>
          <w:szCs w:val="32"/>
        </w:rPr>
      </w:pPr>
      <w:r>
        <w:rPr>
          <w:rFonts w:ascii="仿宋_GB2312" w:eastAsia="仿宋_GB2312"/>
          <w:sz w:val="32"/>
          <w:szCs w:val="32"/>
        </w:rPr>
        <w:t>八、《国有资本经营预算财政拨款收入支出决算表》</w:t>
      </w:r>
    </w:p>
    <w:p w14:paraId="486A4BD8">
      <w:pPr>
        <w:widowControl/>
        <w:ind w:firstLine="640" w:firstLineChars="200"/>
        <w:jc w:val="left"/>
        <w:outlineLvl w:val="1"/>
        <w:rPr>
          <w:rFonts w:ascii="仿宋_GB2312" w:eastAsia="仿宋_GB2312"/>
          <w:sz w:val="32"/>
          <w:szCs w:val="32"/>
        </w:rPr>
      </w:pPr>
      <w:r>
        <w:rPr>
          <w:rFonts w:ascii="仿宋_GB2312" w:eastAsia="仿宋_GB2312"/>
          <w:sz w:val="32"/>
          <w:szCs w:val="32"/>
        </w:rPr>
        <w:t>九、《财政拨款“三公”经费支出决算表》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782FA5B-BC62-4A0D-8492-F5674A2EFEF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2" w:fontKey="{96BBD550-1FAE-43F2-B926-BE877A4F9EE3}"/>
  </w:font>
  <w:font w:name="楷体_GB2312">
    <w:panose1 w:val="02010609030101010101"/>
    <w:charset w:val="86"/>
    <w:family w:val="auto"/>
    <w:pitch w:val="default"/>
    <w:sig w:usb0="00000001" w:usb1="080E0000" w:usb2="00000000" w:usb3="00000000" w:csb0="00040000" w:csb1="00000000"/>
  </w:font>
  <w:font w:name="FangSong_GB2312">
    <w:altName w:val="仿宋_GB2312"/>
    <w:panose1 w:val="020B0604020202020204"/>
    <w:charset w:val="86"/>
    <w:family w:val="modern"/>
    <w:pitch w:val="default"/>
    <w:sig w:usb0="00000000" w:usb1="00000000" w:usb2="00000010" w:usb3="00000000" w:csb0="00040000" w:csb1="00000000"/>
  </w:font>
  <w:font w:name="方正小标宋_GBK">
    <w:panose1 w:val="02000000000000000000"/>
    <w:charset w:val="86"/>
    <w:family w:val="script"/>
    <w:pitch w:val="default"/>
    <w:sig w:usb0="A00002BF" w:usb1="38CF7CFA" w:usb2="00082016" w:usb3="00000000" w:csb0="00040001" w:csb1="00000000"/>
    <w:embedRegular r:id="rId3" w:fontKey="{DD9DD41E-F822-49F0-8689-0A5DE58830EF}"/>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splitPgBreakAndParaMark/>
    <w:compatSetting w:name="compatibilityMode" w:uri="http://schemas.microsoft.com/office/word" w:val="12"/>
  </w:compat>
  <w:rsids>
    <w:rsidRoot w:val="00371123"/>
    <w:rsid w:val="00091154"/>
    <w:rsid w:val="00371123"/>
    <w:rsid w:val="054E09BE"/>
    <w:rsid w:val="0CEE31B2"/>
    <w:rsid w:val="0D3606B5"/>
    <w:rsid w:val="1AC437A4"/>
    <w:rsid w:val="29F923D0"/>
    <w:rsid w:val="34B47F8E"/>
    <w:rsid w:val="4BFB49C8"/>
    <w:rsid w:val="552C5BF2"/>
    <w:rsid w:val="5C5A1297"/>
    <w:rsid w:val="5E354B0A"/>
    <w:rsid w:val="636E387A"/>
    <w:rsid w:val="63C65464"/>
    <w:rsid w:val="6C647FBF"/>
    <w:rsid w:val="6E1156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sz w:val="18"/>
      <w:szCs w:val="18"/>
    </w:rPr>
  </w:style>
  <w:style w:type="character" w:customStyle="1" w:styleId="7">
    <w:name w:val="页脚 Char"/>
    <w:basedOn w:val="5"/>
    <w:link w:val="2"/>
    <w:qFormat/>
    <w:uiPriority w:val="0"/>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14</Pages>
  <Words>6134</Words>
  <Characters>6887</Characters>
  <Lines>50</Lines>
  <Paragraphs>14</Paragraphs>
  <TotalTime>20</TotalTime>
  <ScaleCrop>false</ScaleCrop>
  <LinksUpToDate>false</LinksUpToDate>
  <CharactersWithSpaces>6894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2026-08-12T05:08:00Z</dcterms:created>
  <dc:creator>Administrator</dc:creator>
  <cp:lastModifiedBy>蹁跹</cp:lastModifiedBy>
  <dcterms:modified xsi:type="dcterms:W3CDTF">2026-08-21T10:29:59Z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eyJoZGlkIjoiNTBiYjFiYzY0OWM2ODlhYjA1NDAwODJkOGMwZGNkYTMiLCJ1c2VySWQiOiIxMTU3MzgyOTA5In0=</vt:lpwstr>
  </property>
  <property fmtid="{D5CDD505-2E9C-101B-9397-08002B2CF9AE}" pid="4" name="ICV">
    <vt:lpwstr>5FB928A15BBA418BB55BFEF752FDA21D_12</vt:lpwstr>
  </property>
</Properties>
</file>