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F5F36">
      <w:pPr>
        <w:widowControl/>
        <w:jc w:val="left"/>
        <w:rPr>
          <w:rFonts w:ascii="宋体"/>
          <w:sz w:val="32"/>
          <w:szCs w:val="32"/>
        </w:rPr>
      </w:pPr>
    </w:p>
    <w:p w14:paraId="6371D3AE">
      <w:pPr>
        <w:widowControl/>
        <w:jc w:val="left"/>
        <w:rPr>
          <w:rFonts w:ascii="宋体"/>
          <w:sz w:val="44"/>
          <w:szCs w:val="44"/>
        </w:rPr>
      </w:pPr>
    </w:p>
    <w:p w14:paraId="3521551A">
      <w:pPr>
        <w:widowControl/>
        <w:jc w:val="left"/>
        <w:rPr>
          <w:rFonts w:ascii="宋体"/>
          <w:sz w:val="44"/>
          <w:szCs w:val="44"/>
        </w:rPr>
      </w:pPr>
    </w:p>
    <w:p w14:paraId="1B6F1F7B">
      <w:pPr>
        <w:widowControl/>
        <w:jc w:val="left"/>
        <w:rPr>
          <w:rFonts w:ascii="宋体"/>
          <w:sz w:val="44"/>
          <w:szCs w:val="44"/>
        </w:rPr>
      </w:pPr>
    </w:p>
    <w:p w14:paraId="77E9947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新疆维吾尔自治区自然资源宣传教育中心</w:t>
      </w:r>
    </w:p>
    <w:p w14:paraId="25C1F1D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黑体" w:eastAsia="黑体"/>
          <w:sz w:val="44"/>
          <w:szCs w:val="44"/>
        </w:rPr>
      </w:pPr>
      <w:r>
        <w:rPr>
          <w:rFonts w:hint="eastAsia" w:ascii="方正小标宋_GBK" w:hAnsi="宋体" w:eastAsia="方正小标宋_GBK" w:cs="Times New Roman"/>
          <w:kern w:val="2"/>
          <w:sz w:val="44"/>
          <w:szCs w:val="44"/>
          <w:highlight w:val="none"/>
          <w:lang w:eastAsia="zh-CN"/>
        </w:rPr>
        <w:t>2025年度部门决算公开说明</w:t>
      </w:r>
    </w:p>
    <w:p w14:paraId="2B0BFF38">
      <w:pPr>
        <w:widowControl/>
      </w:pPr>
      <w:r>
        <w:rPr>
          <w:sz w:val="0"/>
          <w:szCs w:val="0"/>
        </w:rPr>
        <w:br w:type="page"/>
      </w:r>
    </w:p>
    <w:p w14:paraId="79DEE38D">
      <w:pPr>
        <w:widowControl/>
        <w:jc w:val="center"/>
        <w:rPr>
          <w:rFonts w:ascii="黑体" w:eastAsia="黑体"/>
          <w:sz w:val="32"/>
          <w:szCs w:val="32"/>
        </w:rPr>
      </w:pPr>
      <w:r>
        <w:rPr>
          <w:rFonts w:ascii="黑体" w:eastAsia="黑体"/>
          <w:b/>
          <w:sz w:val="32"/>
          <w:szCs w:val="32"/>
        </w:rPr>
        <w:t>目录</w:t>
      </w:r>
    </w:p>
    <w:p w14:paraId="79A4CEE1">
      <w:pPr>
        <w:widowControl/>
        <w:jc w:val="left"/>
        <w:rPr>
          <w:rFonts w:ascii="仿宋_GB2312" w:eastAsia="仿宋_GB2312"/>
          <w:sz w:val="32"/>
          <w:szCs w:val="32"/>
        </w:rPr>
      </w:pPr>
      <w:r>
        <w:rPr>
          <w:rFonts w:ascii="仿宋_GB2312" w:eastAsia="仿宋_GB2312"/>
          <w:b/>
          <w:sz w:val="32"/>
          <w:szCs w:val="32"/>
        </w:rPr>
        <w:t>第一部分单位概况</w:t>
      </w:r>
    </w:p>
    <w:p w14:paraId="7591A583">
      <w:pPr>
        <w:widowControl/>
        <w:jc w:val="left"/>
        <w:rPr>
          <w:rFonts w:ascii="仿宋_GB2312" w:eastAsia="仿宋_GB2312"/>
          <w:sz w:val="32"/>
          <w:szCs w:val="32"/>
        </w:rPr>
      </w:pPr>
      <w:r>
        <w:rPr>
          <w:rFonts w:ascii="仿宋_GB2312" w:eastAsia="仿宋_GB2312"/>
          <w:sz w:val="32"/>
          <w:szCs w:val="32"/>
        </w:rPr>
        <w:t>一、主要职能</w:t>
      </w:r>
    </w:p>
    <w:p w14:paraId="4FF731C1">
      <w:pPr>
        <w:widowControl/>
        <w:jc w:val="left"/>
        <w:rPr>
          <w:rFonts w:ascii="仿宋_GB2312" w:eastAsia="仿宋_GB2312"/>
          <w:sz w:val="32"/>
          <w:szCs w:val="32"/>
        </w:rPr>
      </w:pPr>
      <w:r>
        <w:rPr>
          <w:rFonts w:ascii="仿宋_GB2312" w:eastAsia="仿宋_GB2312"/>
          <w:sz w:val="32"/>
          <w:szCs w:val="32"/>
        </w:rPr>
        <w:t>二、机构设置</w:t>
      </w:r>
    </w:p>
    <w:p w14:paraId="2AFFC67A">
      <w:pPr>
        <w:widowControl/>
        <w:jc w:val="left"/>
        <w:rPr>
          <w:rFonts w:ascii="仿宋_GB2312" w:eastAsia="仿宋_GB2312"/>
          <w:sz w:val="32"/>
          <w:szCs w:val="32"/>
        </w:rPr>
      </w:pPr>
      <w:r>
        <w:rPr>
          <w:rFonts w:ascii="仿宋_GB2312" w:eastAsia="仿宋_GB2312"/>
          <w:b/>
          <w:sz w:val="32"/>
          <w:szCs w:val="32"/>
        </w:rPr>
        <w:t>第二部分部门决算情况说明</w:t>
      </w:r>
    </w:p>
    <w:p w14:paraId="5A5CFB09">
      <w:pPr>
        <w:widowControl/>
        <w:jc w:val="left"/>
        <w:rPr>
          <w:rFonts w:ascii="仿宋_GB2312" w:eastAsia="仿宋_GB2312"/>
          <w:sz w:val="32"/>
          <w:szCs w:val="32"/>
        </w:rPr>
      </w:pPr>
      <w:r>
        <w:rPr>
          <w:rFonts w:ascii="仿宋_GB2312" w:eastAsia="仿宋_GB2312"/>
          <w:sz w:val="32"/>
          <w:szCs w:val="32"/>
        </w:rPr>
        <w:t>一、收入支出决算总体情况说明</w:t>
      </w:r>
    </w:p>
    <w:p w14:paraId="6E70D057">
      <w:pPr>
        <w:widowControl/>
        <w:jc w:val="left"/>
        <w:rPr>
          <w:rFonts w:ascii="仿宋_GB2312" w:eastAsia="仿宋_GB2312"/>
          <w:sz w:val="32"/>
          <w:szCs w:val="32"/>
        </w:rPr>
      </w:pPr>
      <w:r>
        <w:rPr>
          <w:rFonts w:ascii="仿宋_GB2312" w:eastAsia="仿宋_GB2312"/>
          <w:sz w:val="32"/>
          <w:szCs w:val="32"/>
        </w:rPr>
        <w:t>二、收入决算情况说明</w:t>
      </w:r>
    </w:p>
    <w:p w14:paraId="45E2F7A7">
      <w:pPr>
        <w:widowControl/>
        <w:jc w:val="left"/>
        <w:rPr>
          <w:rFonts w:ascii="仿宋_GB2312" w:eastAsia="仿宋_GB2312"/>
          <w:sz w:val="32"/>
          <w:szCs w:val="32"/>
        </w:rPr>
      </w:pPr>
      <w:r>
        <w:rPr>
          <w:rFonts w:ascii="仿宋_GB2312" w:eastAsia="仿宋_GB2312"/>
          <w:sz w:val="32"/>
          <w:szCs w:val="32"/>
        </w:rPr>
        <w:t>三、支出决算情况说明</w:t>
      </w:r>
    </w:p>
    <w:p w14:paraId="69814459">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7560349D">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57BEB9A6">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4CF98C21">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1AC11312">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093BFDBB">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6D19D1D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4D16D951">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6E7C548B">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3D0620B0">
      <w:pPr>
        <w:widowControl/>
        <w:jc w:val="left"/>
        <w:rPr>
          <w:rFonts w:ascii="仿宋_GB2312" w:eastAsia="仿宋_GB2312"/>
          <w:sz w:val="32"/>
          <w:szCs w:val="32"/>
        </w:rPr>
      </w:pPr>
      <w:r>
        <w:rPr>
          <w:rFonts w:ascii="仿宋_GB2312" w:eastAsia="仿宋_GB2312"/>
          <w:sz w:val="32"/>
          <w:szCs w:val="32"/>
        </w:rPr>
        <w:t>十、其他重要事项的情况说明</w:t>
      </w:r>
    </w:p>
    <w:p w14:paraId="00CE29BC">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6BE53D6C">
      <w:pPr>
        <w:widowControl/>
        <w:jc w:val="left"/>
        <w:rPr>
          <w:rFonts w:ascii="仿宋_GB2312" w:eastAsia="仿宋_GB2312"/>
          <w:sz w:val="32"/>
          <w:szCs w:val="32"/>
        </w:rPr>
      </w:pPr>
      <w:r>
        <w:rPr>
          <w:rFonts w:ascii="仿宋_GB2312" w:eastAsia="仿宋_GB2312"/>
          <w:sz w:val="32"/>
          <w:szCs w:val="32"/>
        </w:rPr>
        <w:t>（二）政府采购情况</w:t>
      </w:r>
    </w:p>
    <w:p w14:paraId="597BCF57">
      <w:pPr>
        <w:widowControl/>
        <w:jc w:val="left"/>
        <w:rPr>
          <w:rFonts w:ascii="仿宋_GB2312" w:eastAsia="仿宋_GB2312"/>
          <w:sz w:val="32"/>
          <w:szCs w:val="32"/>
        </w:rPr>
      </w:pPr>
      <w:r>
        <w:rPr>
          <w:rFonts w:ascii="仿宋_GB2312" w:eastAsia="仿宋_GB2312"/>
          <w:sz w:val="32"/>
          <w:szCs w:val="32"/>
        </w:rPr>
        <w:t>（三）国有资产占用情况说明</w:t>
      </w:r>
    </w:p>
    <w:p w14:paraId="78AA0057">
      <w:pPr>
        <w:widowControl/>
        <w:jc w:val="left"/>
        <w:rPr>
          <w:rFonts w:ascii="仿宋_GB2312" w:eastAsia="仿宋_GB2312"/>
          <w:sz w:val="32"/>
          <w:szCs w:val="32"/>
        </w:rPr>
      </w:pPr>
      <w:r>
        <w:rPr>
          <w:rFonts w:ascii="仿宋_GB2312" w:eastAsia="仿宋_GB2312"/>
          <w:sz w:val="32"/>
          <w:szCs w:val="32"/>
        </w:rPr>
        <w:t>十一、预算绩效的情况说明</w:t>
      </w:r>
    </w:p>
    <w:p w14:paraId="423895AB">
      <w:pPr>
        <w:widowControl/>
        <w:jc w:val="left"/>
        <w:rPr>
          <w:rFonts w:ascii="仿宋_GB2312" w:eastAsia="仿宋_GB2312"/>
          <w:sz w:val="32"/>
          <w:szCs w:val="32"/>
        </w:rPr>
      </w:pPr>
      <w:r>
        <w:rPr>
          <w:rFonts w:ascii="仿宋_GB2312" w:eastAsia="仿宋_GB2312"/>
          <w:sz w:val="32"/>
          <w:szCs w:val="32"/>
        </w:rPr>
        <w:t>十二、其他需说明的事项</w:t>
      </w:r>
    </w:p>
    <w:p w14:paraId="11347544">
      <w:pPr>
        <w:widowControl/>
        <w:jc w:val="left"/>
        <w:rPr>
          <w:rFonts w:ascii="仿宋_GB2312" w:eastAsia="仿宋_GB2312"/>
          <w:sz w:val="32"/>
          <w:szCs w:val="32"/>
        </w:rPr>
      </w:pPr>
      <w:r>
        <w:rPr>
          <w:rFonts w:ascii="仿宋_GB2312" w:eastAsia="仿宋_GB2312"/>
          <w:b/>
          <w:sz w:val="32"/>
          <w:szCs w:val="32"/>
        </w:rPr>
        <w:t>第三部分专业名词解释</w:t>
      </w:r>
    </w:p>
    <w:p w14:paraId="4D6E8538">
      <w:pPr>
        <w:widowControl/>
        <w:jc w:val="left"/>
        <w:rPr>
          <w:rFonts w:ascii="仿宋_GB2312" w:eastAsia="仿宋_GB2312"/>
          <w:sz w:val="32"/>
          <w:szCs w:val="32"/>
        </w:rPr>
      </w:pPr>
      <w:r>
        <w:rPr>
          <w:rFonts w:ascii="仿宋_GB2312" w:eastAsia="仿宋_GB2312"/>
          <w:b/>
          <w:sz w:val="32"/>
          <w:szCs w:val="32"/>
        </w:rPr>
        <w:t>第四部分部门决算报表（见附表）</w:t>
      </w:r>
    </w:p>
    <w:p w14:paraId="50DD97F8">
      <w:pPr>
        <w:widowControl/>
        <w:jc w:val="left"/>
        <w:rPr>
          <w:rFonts w:ascii="仿宋_GB2312" w:eastAsia="仿宋_GB2312"/>
          <w:sz w:val="32"/>
          <w:szCs w:val="32"/>
        </w:rPr>
      </w:pPr>
      <w:r>
        <w:rPr>
          <w:rFonts w:ascii="仿宋_GB2312" w:eastAsia="仿宋_GB2312"/>
          <w:sz w:val="32"/>
          <w:szCs w:val="32"/>
        </w:rPr>
        <w:t>一、《收入支出决算总表》</w:t>
      </w:r>
    </w:p>
    <w:p w14:paraId="391994CD">
      <w:pPr>
        <w:widowControl/>
        <w:jc w:val="left"/>
        <w:rPr>
          <w:rFonts w:ascii="仿宋_GB2312" w:eastAsia="仿宋_GB2312"/>
          <w:sz w:val="32"/>
          <w:szCs w:val="32"/>
        </w:rPr>
      </w:pPr>
      <w:r>
        <w:rPr>
          <w:rFonts w:ascii="仿宋_GB2312" w:eastAsia="仿宋_GB2312"/>
          <w:sz w:val="32"/>
          <w:szCs w:val="32"/>
        </w:rPr>
        <w:t>二、《收入决算表》</w:t>
      </w:r>
    </w:p>
    <w:p w14:paraId="4B1BD6C7">
      <w:pPr>
        <w:widowControl/>
        <w:jc w:val="left"/>
        <w:rPr>
          <w:rFonts w:ascii="仿宋_GB2312" w:eastAsia="仿宋_GB2312"/>
          <w:sz w:val="32"/>
          <w:szCs w:val="32"/>
        </w:rPr>
      </w:pPr>
      <w:r>
        <w:rPr>
          <w:rFonts w:ascii="仿宋_GB2312" w:eastAsia="仿宋_GB2312"/>
          <w:sz w:val="32"/>
          <w:szCs w:val="32"/>
        </w:rPr>
        <w:t>三、《支出决算表》</w:t>
      </w:r>
    </w:p>
    <w:p w14:paraId="7509AF24">
      <w:pPr>
        <w:widowControl/>
        <w:jc w:val="left"/>
        <w:rPr>
          <w:rFonts w:ascii="仿宋_GB2312" w:eastAsia="仿宋_GB2312"/>
          <w:sz w:val="32"/>
          <w:szCs w:val="32"/>
        </w:rPr>
      </w:pPr>
      <w:r>
        <w:rPr>
          <w:rFonts w:ascii="仿宋_GB2312" w:eastAsia="仿宋_GB2312"/>
          <w:sz w:val="32"/>
          <w:szCs w:val="32"/>
        </w:rPr>
        <w:t>四、《财政拨款收入支出决算总表》</w:t>
      </w:r>
    </w:p>
    <w:p w14:paraId="1FCE9B43">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6989BD93">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27673B76">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5B19804B">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589628BE">
      <w:pPr>
        <w:widowControl/>
        <w:jc w:val="left"/>
        <w:rPr>
          <w:rFonts w:ascii="仿宋_GB2312" w:eastAsia="仿宋_GB2312"/>
          <w:sz w:val="32"/>
          <w:szCs w:val="32"/>
        </w:rPr>
      </w:pPr>
      <w:r>
        <w:rPr>
          <w:rFonts w:ascii="仿宋_GB2312" w:eastAsia="仿宋_GB2312"/>
          <w:sz w:val="32"/>
          <w:szCs w:val="32"/>
        </w:rPr>
        <w:t>九、《财政拨款“三公”经费支出决算表》</w:t>
      </w:r>
    </w:p>
    <w:p w14:paraId="1A52FEDF">
      <w:pPr>
        <w:widowControl/>
      </w:pPr>
      <w:r>
        <w:rPr>
          <w:sz w:val="0"/>
          <w:szCs w:val="0"/>
        </w:rPr>
        <w:br w:type="page"/>
      </w:r>
    </w:p>
    <w:p w14:paraId="700E87E5">
      <w:pPr>
        <w:widowControl/>
        <w:jc w:val="center"/>
        <w:outlineLvl w:val="0"/>
        <w:rPr>
          <w:rFonts w:ascii="黑体" w:eastAsia="黑体"/>
          <w:sz w:val="32"/>
          <w:szCs w:val="32"/>
        </w:rPr>
      </w:pPr>
      <w:r>
        <w:rPr>
          <w:rFonts w:ascii="黑体" w:eastAsia="黑体"/>
          <w:sz w:val="32"/>
          <w:szCs w:val="32"/>
        </w:rPr>
        <w:t>第一部分单位概况</w:t>
      </w:r>
    </w:p>
    <w:p w14:paraId="16B114A2">
      <w:pPr>
        <w:widowControl/>
        <w:ind w:firstLine="640" w:firstLineChars="200"/>
        <w:jc w:val="left"/>
        <w:outlineLvl w:val="1"/>
        <w:rPr>
          <w:rFonts w:ascii="黑体" w:eastAsia="黑体"/>
          <w:sz w:val="32"/>
          <w:szCs w:val="32"/>
        </w:rPr>
      </w:pPr>
      <w:r>
        <w:rPr>
          <w:rFonts w:ascii="黑体" w:eastAsia="黑体"/>
          <w:sz w:val="32"/>
          <w:szCs w:val="32"/>
        </w:rPr>
        <w:t>一、主要职能</w:t>
      </w:r>
    </w:p>
    <w:p w14:paraId="1EDE0A2D">
      <w:pPr>
        <w:ind w:firstLine="640" w:firstLineChars="200"/>
        <w:rPr>
          <w:rFonts w:ascii="仿宋_GB2312" w:eastAsia="仿宋_GB2312"/>
          <w:sz w:val="32"/>
          <w:szCs w:val="32"/>
        </w:rPr>
      </w:pPr>
      <w:r>
        <w:rPr>
          <w:rFonts w:hint="eastAsia" w:ascii="仿宋_GB2312" w:eastAsia="仿宋_GB2312"/>
          <w:sz w:val="32"/>
          <w:szCs w:val="32"/>
        </w:rPr>
        <w:t>1.通过开展主题宣传工作任务在厅办公室（宣传办）指导下主要以6个主题日宣传拍摄录制视频、报刊杂志刊发署名文章、日常宣传工作；引导全社会了解自然资源现状、认清资源形势，提高公众保护资源、节约利用资源意识，提高各族人民群众科学防灾、减灾意识和能力为目标。</w:t>
      </w:r>
    </w:p>
    <w:p w14:paraId="1C6FDD4B">
      <w:pPr>
        <w:ind w:firstLine="640" w:firstLineChars="200"/>
        <w:rPr>
          <w:rFonts w:ascii="仿宋_GB2312" w:eastAsia="仿宋_GB2312"/>
          <w:sz w:val="32"/>
          <w:szCs w:val="32"/>
        </w:rPr>
      </w:pPr>
      <w:r>
        <w:rPr>
          <w:rFonts w:hint="eastAsia" w:ascii="仿宋_GB2312" w:eastAsia="仿宋_GB2312"/>
          <w:sz w:val="32"/>
          <w:szCs w:val="32"/>
        </w:rPr>
        <w:t>2.通过开展教育培训工作任务，通过以现场集中培训为主，视频方式培训为辅的形式开展培训计划。对全系统干部履行职责必备的基本知识、基本业务技能的提高。达到懂方针政策、懂法律法规、懂业务知识、履职尽责、会依法办事、会管理服务、会做群众工作的要求目标。</w:t>
      </w:r>
    </w:p>
    <w:p w14:paraId="1454C12F">
      <w:pPr>
        <w:ind w:firstLine="640" w:firstLineChars="200"/>
        <w:rPr>
          <w:rFonts w:ascii="仿宋_GB2312" w:eastAsia="仿宋_GB2312"/>
          <w:sz w:val="32"/>
          <w:szCs w:val="32"/>
        </w:rPr>
      </w:pPr>
      <w:r>
        <w:rPr>
          <w:rFonts w:hint="eastAsia" w:ascii="仿宋_GB2312" w:eastAsia="仿宋_GB2312"/>
          <w:sz w:val="32"/>
          <w:szCs w:val="32"/>
        </w:rPr>
        <w:t>3.通过《新疆自然资源》杂志按期（双月刊）编印任务，提升相关自然资源宣传广度、深度等，提高认知率、普及率。</w:t>
      </w:r>
    </w:p>
    <w:p w14:paraId="36A85E0E">
      <w:pPr>
        <w:widowControl/>
        <w:ind w:firstLine="640" w:firstLineChars="200"/>
        <w:jc w:val="left"/>
        <w:outlineLvl w:val="1"/>
        <w:rPr>
          <w:rFonts w:ascii="黑体" w:eastAsia="黑体"/>
          <w:sz w:val="32"/>
          <w:szCs w:val="32"/>
        </w:rPr>
      </w:pPr>
      <w:r>
        <w:rPr>
          <w:rFonts w:ascii="黑体" w:eastAsia="黑体"/>
          <w:sz w:val="32"/>
          <w:szCs w:val="32"/>
        </w:rPr>
        <w:t>二、机构设置</w:t>
      </w:r>
    </w:p>
    <w:p w14:paraId="56A80E27">
      <w:pPr>
        <w:widowControl/>
        <w:ind w:firstLine="640" w:firstLineChars="200"/>
        <w:rPr>
          <w:rFonts w:ascii="仿宋_GB2312" w:eastAsia="仿宋_GB2312"/>
          <w:sz w:val="32"/>
          <w:szCs w:val="32"/>
        </w:rPr>
      </w:pPr>
      <w:r>
        <w:rPr>
          <w:rFonts w:hint="eastAsia" w:ascii="仿宋_GB2312" w:eastAsia="仿宋_GB2312"/>
          <w:sz w:val="32"/>
          <w:szCs w:val="32"/>
        </w:rPr>
        <w:t>新疆维吾尔自治区自然资源宣传教育中心无下属预算单位。</w:t>
      </w:r>
    </w:p>
    <w:p w14:paraId="017C5399">
      <w:pPr>
        <w:widowControl/>
        <w:ind w:firstLine="0" w:firstLineChars="200"/>
      </w:pPr>
      <w:r>
        <w:rPr>
          <w:sz w:val="0"/>
          <w:szCs w:val="0"/>
        </w:rPr>
        <w:br w:type="page"/>
      </w:r>
    </w:p>
    <w:p w14:paraId="1A696A45">
      <w:pPr>
        <w:widowControl/>
        <w:jc w:val="center"/>
        <w:outlineLvl w:val="0"/>
        <w:rPr>
          <w:rFonts w:ascii="黑体" w:eastAsia="黑体"/>
          <w:sz w:val="32"/>
          <w:szCs w:val="32"/>
        </w:rPr>
      </w:pPr>
      <w:r>
        <w:rPr>
          <w:rFonts w:ascii="黑体" w:eastAsia="黑体"/>
          <w:sz w:val="32"/>
          <w:szCs w:val="32"/>
        </w:rPr>
        <w:t>第二部分部门决算情况说明</w:t>
      </w:r>
    </w:p>
    <w:p w14:paraId="283CB8F5">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4401157B">
      <w:pPr>
        <w:widowControl/>
        <w:ind w:firstLine="640" w:firstLineChars="200"/>
        <w:rPr>
          <w:rFonts w:ascii="仿宋_GB2312" w:eastAsia="仿宋_GB2312"/>
          <w:sz w:val="32"/>
          <w:szCs w:val="32"/>
        </w:rPr>
      </w:pPr>
      <w:r>
        <w:rPr>
          <w:rFonts w:ascii="仿宋_GB2312" w:eastAsia="仿宋_GB2312"/>
          <w:sz w:val="32"/>
          <w:szCs w:val="32"/>
        </w:rPr>
        <w:t>2025年度收入总计415.18万元，其中：本年收入合计397.61万元，使用非财政拨款结余（含专用结余）17.58万元，年初结转和结余0.00万元。</w:t>
      </w:r>
    </w:p>
    <w:p w14:paraId="25BB9D29">
      <w:pPr>
        <w:widowControl/>
        <w:ind w:firstLine="640" w:firstLineChars="200"/>
        <w:rPr>
          <w:rFonts w:ascii="仿宋_GB2312" w:eastAsia="仿宋_GB2312"/>
          <w:sz w:val="32"/>
          <w:szCs w:val="32"/>
        </w:rPr>
      </w:pPr>
      <w:r>
        <w:rPr>
          <w:rFonts w:ascii="仿宋_GB2312" w:eastAsia="仿宋_GB2312"/>
          <w:sz w:val="32"/>
          <w:szCs w:val="32"/>
        </w:rPr>
        <w:t>2025年度支出总计415.18万元，其中：本年支出合计415.18万元，结余分配0.00万元，年末结转和结余0.00万元。</w:t>
      </w:r>
    </w:p>
    <w:p w14:paraId="062DAEBE">
      <w:pPr>
        <w:widowControl/>
        <w:ind w:firstLine="640" w:firstLineChars="200"/>
        <w:rPr>
          <w:rFonts w:ascii="仿宋_GB2312" w:eastAsia="仿宋_GB2312"/>
          <w:sz w:val="32"/>
          <w:szCs w:val="32"/>
        </w:rPr>
      </w:pPr>
      <w:r>
        <w:rPr>
          <w:rFonts w:ascii="仿宋_GB2312" w:eastAsia="仿宋_GB2312"/>
          <w:sz w:val="32"/>
          <w:szCs w:val="32"/>
        </w:rPr>
        <w:t>收入支出总体与上年相比，增加12.62万元，增长3.13%，主要原因是：财政</w:t>
      </w:r>
      <w:r>
        <w:rPr>
          <w:rFonts w:hint="eastAsia" w:ascii="仿宋_GB2312" w:eastAsia="仿宋_GB2312"/>
          <w:sz w:val="32"/>
          <w:szCs w:val="32"/>
          <w:lang w:eastAsia="zh-CN"/>
        </w:rPr>
        <w:t>增加</w:t>
      </w:r>
      <w:r>
        <w:rPr>
          <w:rFonts w:ascii="仿宋_GB2312" w:eastAsia="仿宋_GB2312"/>
          <w:sz w:val="32"/>
          <w:szCs w:val="32"/>
        </w:rPr>
        <w:t>上年度绩效奖励及结亲交通费。</w:t>
      </w:r>
    </w:p>
    <w:p w14:paraId="14691F4D">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5FEBBF56">
      <w:pPr>
        <w:widowControl/>
        <w:ind w:firstLine="640" w:firstLineChars="200"/>
        <w:rPr>
          <w:rFonts w:ascii="仿宋_GB2312" w:eastAsia="仿宋_GB2312"/>
          <w:sz w:val="32"/>
          <w:szCs w:val="32"/>
        </w:rPr>
      </w:pPr>
      <w:r>
        <w:rPr>
          <w:rFonts w:ascii="仿宋_GB2312" w:eastAsia="仿宋_GB2312"/>
          <w:sz w:val="32"/>
          <w:szCs w:val="32"/>
        </w:rPr>
        <w:t>本年收入397.61万元，其中：财政拨款收入397.60万元,占100.00%；上级补助收入0.00万元,占0.00%；事业收入0.00万元，占0.00%；经营收入0.00万元,占0.00%；附属单位上缴收入0.00万元，占0.00%；其他收入0.00万元，占0.00%。</w:t>
      </w:r>
    </w:p>
    <w:p w14:paraId="0B385ABB">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20D17CA1">
      <w:pPr>
        <w:widowControl/>
        <w:ind w:firstLine="640" w:firstLineChars="200"/>
        <w:rPr>
          <w:rFonts w:ascii="仿宋_GB2312" w:eastAsia="仿宋_GB2312"/>
          <w:sz w:val="32"/>
          <w:szCs w:val="32"/>
        </w:rPr>
      </w:pPr>
      <w:r>
        <w:rPr>
          <w:rFonts w:ascii="仿宋_GB2312" w:eastAsia="仿宋_GB2312"/>
          <w:sz w:val="32"/>
          <w:szCs w:val="32"/>
        </w:rPr>
        <w:t>本年支出415.18万元，其中：基本支出265.18万元，占63.87%；项目支出150.00万元，占36.13%；上缴上级支出0.00万元，占0.00%；经营支出0.00万元，占0.00%；对附属单位补助支出0.00万元，占0.00%。</w:t>
      </w:r>
    </w:p>
    <w:p w14:paraId="204C20B4">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576EE755">
      <w:pPr>
        <w:widowControl/>
        <w:ind w:firstLine="640" w:firstLineChars="200"/>
        <w:rPr>
          <w:rFonts w:ascii="仿宋_GB2312" w:eastAsia="仿宋_GB2312"/>
          <w:sz w:val="32"/>
          <w:szCs w:val="32"/>
        </w:rPr>
      </w:pPr>
      <w:r>
        <w:rPr>
          <w:rFonts w:ascii="仿宋_GB2312" w:eastAsia="仿宋_GB2312"/>
          <w:sz w:val="32"/>
          <w:szCs w:val="32"/>
        </w:rPr>
        <w:t>2025年度财政拨款收入总计397.60万元，其中：年初财政拨款结转和结余0.00万元，本年财政拨款收入397.60万元。财政拨款支出总计397.60万元，其中：年末财政拨款结转和结余0.00万元，本年财政拨款支出397.60万元。</w:t>
      </w:r>
    </w:p>
    <w:p w14:paraId="08C6B9BA">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财政拨款收入支出总体与上年相比，增加73.50万元，增长22.68%，主要原因是：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ascii="仿宋_GB2312" w:eastAsia="仿宋_GB2312"/>
          <w:sz w:val="32"/>
          <w:szCs w:val="32"/>
        </w:rPr>
        <w:t>。与年初预算相比，年初预算数303.20万元，决算数397.60万元，预决算差异率31.13%，主要原因是：</w:t>
      </w:r>
      <w:r>
        <w:rPr>
          <w:rFonts w:hint="eastAsia" w:ascii="仿宋_GB2312" w:eastAsia="仿宋_GB2312"/>
          <w:sz w:val="32"/>
          <w:szCs w:val="32"/>
        </w:rPr>
        <w:t>2025年机构改革，我单位为涉改单位，差额单位转全额，年中追加人员经费预算</w:t>
      </w:r>
      <w:r>
        <w:rPr>
          <w:rFonts w:ascii="仿宋_GB2312" w:eastAsia="仿宋_GB2312"/>
          <w:sz w:val="32"/>
          <w:szCs w:val="32"/>
        </w:rPr>
        <w:t>。</w:t>
      </w:r>
    </w:p>
    <w:p w14:paraId="4ACD28DC">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44A336B3">
      <w:pPr>
        <w:widowControl/>
        <w:ind w:firstLine="640" w:firstLineChars="200"/>
        <w:jc w:val="left"/>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rPr>
        <w:t>单位日常运转、完成重点工作任务、推进事业发展需要等重点支出</w:t>
      </w:r>
      <w:r>
        <w:rPr>
          <w:rFonts w:ascii="仿宋_GB2312" w:eastAsia="仿宋_GB2312"/>
          <w:sz w:val="32"/>
          <w:szCs w:val="32"/>
        </w:rPr>
        <w:t>等重点支出，体现在有关支出科目中。</w:t>
      </w:r>
    </w:p>
    <w:p w14:paraId="0221F617">
      <w:pPr>
        <w:widowControl/>
        <w:ind w:firstLine="640" w:firstLineChars="200"/>
        <w:jc w:val="left"/>
        <w:rPr>
          <w:rFonts w:ascii="仿宋_GB2312" w:eastAsia="仿宋_GB2312"/>
          <w:sz w:val="32"/>
          <w:szCs w:val="32"/>
        </w:rPr>
      </w:pPr>
      <w:r>
        <w:rPr>
          <w:rFonts w:ascii="仿宋_GB2312" w:eastAsia="仿宋_GB2312"/>
          <w:sz w:val="32"/>
          <w:szCs w:val="32"/>
        </w:rPr>
        <w:t>按照支出功能分类，自然资源海洋气象等支出（类）自然资源事务（款）事业运行（项）的支出占本年财政拨款支出总额的比重最高，2025年度决算数为171.38万元，占比为43.10%，主要用于合理保障</w:t>
      </w:r>
      <w:r>
        <w:rPr>
          <w:rFonts w:hint="eastAsia" w:ascii="仿宋_GB2312" w:eastAsia="仿宋_GB2312"/>
          <w:sz w:val="32"/>
          <w:szCs w:val="32"/>
        </w:rPr>
        <w:t>单位日常运转</w:t>
      </w:r>
      <w:r>
        <w:rPr>
          <w:rFonts w:ascii="仿宋_GB2312" w:eastAsia="仿宋_GB2312"/>
          <w:sz w:val="32"/>
          <w:szCs w:val="32"/>
        </w:rPr>
        <w:t>、在职人员</w:t>
      </w:r>
      <w:r>
        <w:rPr>
          <w:rFonts w:hint="eastAsia" w:ascii="仿宋_GB2312" w:eastAsia="仿宋_GB2312"/>
          <w:sz w:val="32"/>
          <w:szCs w:val="32"/>
        </w:rPr>
        <w:t>基本工资、津贴补贴、奖金、绩效工资</w:t>
      </w:r>
      <w:r>
        <w:rPr>
          <w:rFonts w:ascii="仿宋_GB2312" w:eastAsia="仿宋_GB2312"/>
          <w:sz w:val="32"/>
          <w:szCs w:val="32"/>
        </w:rPr>
        <w:t>等支出</w:t>
      </w:r>
      <w:r>
        <w:rPr>
          <w:rFonts w:hint="eastAsia" w:ascii="仿宋_GB2312" w:eastAsia="仿宋_GB2312"/>
          <w:sz w:val="32"/>
          <w:szCs w:val="32"/>
        </w:rPr>
        <w:t>。</w:t>
      </w:r>
    </w:p>
    <w:p w14:paraId="1E1C7218">
      <w:pPr>
        <w:widowControl/>
        <w:ind w:firstLine="640" w:firstLineChars="200"/>
        <w:outlineLvl w:val="2"/>
        <w:rPr>
          <w:rFonts w:ascii="黑体" w:eastAsia="黑体"/>
          <w:sz w:val="32"/>
          <w:szCs w:val="32"/>
        </w:rPr>
      </w:pPr>
      <w:r>
        <w:rPr>
          <w:rFonts w:ascii="黑体" w:eastAsia="黑体"/>
          <w:sz w:val="32"/>
          <w:szCs w:val="32"/>
        </w:rPr>
        <w:t>（一）一般公共预算财政拨款支出决算总体情况</w:t>
      </w:r>
    </w:p>
    <w:p w14:paraId="147C40A9">
      <w:pPr>
        <w:widowControl/>
        <w:ind w:firstLine="640" w:firstLineChars="200"/>
        <w:rPr>
          <w:rFonts w:ascii="仿宋_GB2312" w:eastAsia="仿宋_GB2312"/>
          <w:sz w:val="32"/>
          <w:szCs w:val="32"/>
        </w:rPr>
      </w:pPr>
      <w:r>
        <w:rPr>
          <w:rFonts w:ascii="仿宋_GB2312" w:eastAsia="仿宋_GB2312"/>
          <w:sz w:val="32"/>
          <w:szCs w:val="32"/>
        </w:rPr>
        <w:t>2025年度一般公共预算财政拨款支出397.60万元，占本年支出合计的95.77%。与上年相比，增加73.50万元，增长22.68%，主要原因是：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ascii="仿宋_GB2312" w:eastAsia="仿宋_GB2312"/>
          <w:sz w:val="32"/>
          <w:szCs w:val="32"/>
        </w:rPr>
        <w:t>。与年初预算相比，年初预算数303.20万元，决算数397.60万元，预决算差异率31.13%，主要原因是：</w:t>
      </w:r>
      <w:r>
        <w:rPr>
          <w:rFonts w:hint="eastAsia" w:ascii="仿宋_GB2312" w:eastAsia="仿宋_GB2312"/>
          <w:sz w:val="32"/>
          <w:szCs w:val="32"/>
        </w:rPr>
        <w:t>2025年机构改革，我单位为涉改单位，差额单位转全额，年中追加人员经费预算</w:t>
      </w:r>
      <w:r>
        <w:rPr>
          <w:rFonts w:ascii="仿宋_GB2312" w:eastAsia="仿宋_GB2312"/>
          <w:sz w:val="32"/>
          <w:szCs w:val="32"/>
        </w:rPr>
        <w:t>。</w:t>
      </w:r>
    </w:p>
    <w:p w14:paraId="45112C6C">
      <w:pPr>
        <w:widowControl/>
        <w:ind w:firstLine="640" w:firstLineChars="200"/>
        <w:jc w:val="left"/>
        <w:outlineLvl w:val="2"/>
        <w:rPr>
          <w:rFonts w:ascii="黑体" w:eastAsia="黑体"/>
          <w:sz w:val="32"/>
          <w:szCs w:val="32"/>
        </w:rPr>
      </w:pPr>
      <w:r>
        <w:rPr>
          <w:rFonts w:ascii="黑体" w:eastAsia="黑体"/>
          <w:sz w:val="32"/>
          <w:szCs w:val="32"/>
        </w:rPr>
        <w:t>（二）一般公共预算财政拨款支出决算结构情况</w:t>
      </w:r>
    </w:p>
    <w:p w14:paraId="0DB70CF0">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社会保障和就业支出（类）37.60万元，占9.46%。</w:t>
      </w:r>
    </w:p>
    <w:p w14:paraId="6DD23889">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ascii="仿宋_GB2312" w:eastAsia="仿宋_GB2312"/>
          <w:sz w:val="32"/>
          <w:szCs w:val="32"/>
        </w:rPr>
        <w:t>卫生健康支出（类）22.18万元，占5.58%。</w:t>
      </w:r>
    </w:p>
    <w:p w14:paraId="487F7AC0">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自然资源海洋气象等支出（类）321.38万元，占80.83%。</w:t>
      </w:r>
    </w:p>
    <w:p w14:paraId="057AEE2F">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住房保障支出（类）16.44万元，占4.13%。</w:t>
      </w:r>
    </w:p>
    <w:p w14:paraId="51763F21">
      <w:pPr>
        <w:widowControl/>
        <w:ind w:firstLine="640" w:firstLineChars="200"/>
        <w:jc w:val="left"/>
        <w:outlineLvl w:val="2"/>
        <w:rPr>
          <w:rFonts w:ascii="黑体" w:eastAsia="黑体"/>
          <w:sz w:val="32"/>
          <w:szCs w:val="32"/>
        </w:rPr>
      </w:pPr>
      <w:r>
        <w:rPr>
          <w:rFonts w:ascii="黑体" w:eastAsia="黑体"/>
          <w:sz w:val="32"/>
          <w:szCs w:val="32"/>
        </w:rPr>
        <w:t>（三）一般公共预算财政拨款支出决算具体情况</w:t>
      </w:r>
    </w:p>
    <w:p w14:paraId="6447AB86">
      <w:pPr>
        <w:widowControl/>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社会保障和就业支出（类）行政事业单位养老支出（款）事业单位离退休（项）：支出决算数为5.19万元，比上年决算增加3.36万元，增长183.61%，主要原因是：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hint="eastAsia" w:ascii="仿宋_GB2312" w:eastAsia="仿宋_GB2312"/>
          <w:sz w:val="32"/>
          <w:szCs w:val="32"/>
          <w:lang w:eastAsia="zh-CN"/>
        </w:rPr>
        <w:t>退休费</w:t>
      </w:r>
      <w:r>
        <w:rPr>
          <w:rFonts w:hint="eastAsia" w:ascii="仿宋_GB2312" w:eastAsia="仿宋_GB2312"/>
          <w:sz w:val="32"/>
          <w:szCs w:val="32"/>
        </w:rPr>
        <w:t>支出增加。</w:t>
      </w:r>
    </w:p>
    <w:p w14:paraId="27283FFA">
      <w:pPr>
        <w:widowControl/>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社会保障和就业支出（类）行政事业单位养老支出（款）机关事业单位基本养老保险缴费支出（项）：支出决算数为21.90万元，比上年决算增加5.51万元，增长33.62%，主要原因是：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hint="eastAsia" w:ascii="仿宋_GB2312" w:eastAsia="仿宋_GB2312"/>
          <w:sz w:val="32"/>
          <w:szCs w:val="32"/>
          <w:lang w:eastAsia="zh-CN"/>
        </w:rPr>
        <w:t>，</w:t>
      </w:r>
      <w:r>
        <w:rPr>
          <w:rFonts w:hint="eastAsia" w:ascii="仿宋_GB2312" w:eastAsia="仿宋_GB2312"/>
          <w:sz w:val="32"/>
          <w:szCs w:val="32"/>
        </w:rPr>
        <w:t>相应的社保缴费增加，机关事业单位基本养老保险缴费支出增加。</w:t>
      </w:r>
    </w:p>
    <w:p w14:paraId="0E0ABB55">
      <w:pPr>
        <w:widowControl/>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社会保障和就业支出（类）行政事业单位养老支出（款）机关事业单位职业年金缴费支出（项）：支出决算数为10.50万元，比上年决算增加2.30万元，增长28.05%，主要原因是：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hint="eastAsia" w:ascii="仿宋_GB2312" w:eastAsia="仿宋_GB2312"/>
          <w:sz w:val="32"/>
          <w:szCs w:val="32"/>
          <w:lang w:eastAsia="zh-CN"/>
        </w:rPr>
        <w:t>，</w:t>
      </w:r>
      <w:r>
        <w:rPr>
          <w:rFonts w:hint="eastAsia" w:ascii="仿宋_GB2312" w:eastAsia="仿宋_GB2312"/>
          <w:sz w:val="32"/>
          <w:szCs w:val="32"/>
        </w:rPr>
        <w:t>相应的社保缴费增加，机关事业单位职业年金缴费支出增加。</w:t>
      </w:r>
    </w:p>
    <w:p w14:paraId="594F4499">
      <w:pPr>
        <w:widowControl/>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卫生健康支出（类）行政事业单位医疗（款）事业单位医疗（项）：支出决算数为12.59万元，比上年决算增加5.07万元，增长67.42%，主要原因是：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hint="eastAsia" w:ascii="仿宋_GB2312" w:eastAsia="仿宋_GB2312"/>
          <w:sz w:val="32"/>
          <w:szCs w:val="32"/>
          <w:lang w:eastAsia="zh-CN"/>
        </w:rPr>
        <w:t>，</w:t>
      </w:r>
      <w:r>
        <w:rPr>
          <w:rFonts w:hint="eastAsia" w:ascii="仿宋_GB2312" w:eastAsia="仿宋_GB2312"/>
          <w:sz w:val="32"/>
          <w:szCs w:val="32"/>
        </w:rPr>
        <w:t>相应</w:t>
      </w:r>
      <w:r>
        <w:rPr>
          <w:rFonts w:ascii="仿宋_GB2312" w:eastAsia="仿宋_GB2312"/>
          <w:sz w:val="32"/>
          <w:szCs w:val="32"/>
        </w:rPr>
        <w:t>事业单位医疗</w:t>
      </w:r>
      <w:r>
        <w:rPr>
          <w:rFonts w:hint="eastAsia" w:ascii="仿宋_GB2312" w:eastAsia="仿宋_GB2312"/>
          <w:sz w:val="32"/>
          <w:szCs w:val="32"/>
        </w:rPr>
        <w:t>支出增加。</w:t>
      </w:r>
    </w:p>
    <w:p w14:paraId="5BC9C6F0">
      <w:pPr>
        <w:widowControl/>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卫生健康支出（类）行政事业单位医疗（款）公务员医疗补助（项）：支出决算数为9.59万元，比上年决算增加2.42万元，增长33.75%，主要原因是：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hint="eastAsia" w:ascii="仿宋_GB2312" w:eastAsia="仿宋_GB2312"/>
          <w:sz w:val="32"/>
          <w:szCs w:val="32"/>
          <w:lang w:eastAsia="zh-CN"/>
        </w:rPr>
        <w:t>，</w:t>
      </w:r>
      <w:r>
        <w:rPr>
          <w:rFonts w:ascii="仿宋_GB2312" w:eastAsia="仿宋_GB2312"/>
          <w:sz w:val="32"/>
          <w:szCs w:val="32"/>
        </w:rPr>
        <w:t>公务员医疗补助</w:t>
      </w:r>
      <w:r>
        <w:rPr>
          <w:rFonts w:hint="eastAsia" w:ascii="仿宋_GB2312" w:eastAsia="仿宋_GB2312"/>
          <w:sz w:val="32"/>
          <w:szCs w:val="32"/>
        </w:rPr>
        <w:t>支出增加。</w:t>
      </w:r>
    </w:p>
    <w:p w14:paraId="5D668BF8">
      <w:pPr>
        <w:widowControl/>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自然资源海洋气象等支出（类）自然资源事务（款）自然资源社会公益服务（项）：支出决算数为150.00万元，比上年决算增加150.00万元，增长100.00%，主要原因是：</w:t>
      </w:r>
      <w:r>
        <w:rPr>
          <w:rFonts w:hint="eastAsia" w:ascii="仿宋_GB2312" w:eastAsia="仿宋_GB2312"/>
          <w:sz w:val="32"/>
          <w:szCs w:val="32"/>
        </w:rPr>
        <w:t>根据财政要求，功能科目调整，自然资源宣传编辑教育经费</w:t>
      </w:r>
      <w:r>
        <w:rPr>
          <w:rFonts w:hint="eastAsia" w:ascii="仿宋_GB2312" w:eastAsia="仿宋_GB2312"/>
          <w:sz w:val="32"/>
          <w:szCs w:val="32"/>
          <w:lang w:val="en-US" w:eastAsia="zh-CN"/>
        </w:rPr>
        <w:t>由</w:t>
      </w:r>
      <w:r>
        <w:rPr>
          <w:rFonts w:ascii="仿宋_GB2312" w:eastAsia="仿宋_GB2312"/>
          <w:sz w:val="32"/>
          <w:szCs w:val="32"/>
        </w:rPr>
        <w:t>其他自然资源事务支出</w:t>
      </w:r>
      <w:r>
        <w:rPr>
          <w:rFonts w:hint="eastAsia" w:ascii="仿宋_GB2312" w:eastAsia="仿宋_GB2312"/>
          <w:sz w:val="32"/>
          <w:szCs w:val="32"/>
        </w:rPr>
        <w:t>变更为</w:t>
      </w:r>
      <w:r>
        <w:rPr>
          <w:rFonts w:ascii="仿宋_GB2312" w:eastAsia="仿宋_GB2312"/>
          <w:sz w:val="32"/>
          <w:szCs w:val="32"/>
        </w:rPr>
        <w:t>自然资源社会公益服务</w:t>
      </w:r>
      <w:r>
        <w:rPr>
          <w:rFonts w:hint="eastAsia" w:ascii="仿宋_GB2312" w:eastAsia="仿宋_GB2312"/>
          <w:sz w:val="32"/>
          <w:szCs w:val="32"/>
          <w:lang w:eastAsia="zh-CN"/>
        </w:rPr>
        <w:t>，</w:t>
      </w:r>
      <w:r>
        <w:rPr>
          <w:rFonts w:hint="eastAsia" w:ascii="仿宋_GB2312" w:eastAsia="仿宋_GB2312"/>
          <w:sz w:val="32"/>
          <w:szCs w:val="32"/>
          <w:lang w:val="en-US" w:eastAsia="zh-CN"/>
        </w:rPr>
        <w:t>经费较上年增加</w:t>
      </w:r>
      <w:r>
        <w:rPr>
          <w:rFonts w:hint="eastAsia" w:ascii="仿宋_GB2312" w:eastAsia="仿宋_GB2312"/>
          <w:sz w:val="32"/>
          <w:szCs w:val="32"/>
        </w:rPr>
        <w:t>。</w:t>
      </w:r>
    </w:p>
    <w:p w14:paraId="050DBC7F">
      <w:pPr>
        <w:widowControl/>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自然资源海洋气象等支出（类）自然资源事务（款）事业运行（项）：支出决算数为171.38万元，比上年决算增加50.70万元，增长42.01%，主要原因是：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ascii="仿宋_GB2312" w:eastAsia="仿宋_GB2312"/>
          <w:sz w:val="32"/>
          <w:szCs w:val="32"/>
        </w:rPr>
        <w:t>事业运行</w:t>
      </w:r>
      <w:r>
        <w:rPr>
          <w:rFonts w:hint="eastAsia" w:ascii="仿宋_GB2312" w:eastAsia="仿宋_GB2312"/>
          <w:sz w:val="32"/>
          <w:szCs w:val="32"/>
        </w:rPr>
        <w:t>支出增加。</w:t>
      </w:r>
    </w:p>
    <w:p w14:paraId="731D92CA">
      <w:pPr>
        <w:widowControl/>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自然资源海洋气象等支出（类）自然资源事务（款）其他自然资源事务支出（项）：支出决算数为0.00万元，比上年决算减少150.00万元，下降100.00%，主要原因是：</w:t>
      </w:r>
      <w:r>
        <w:rPr>
          <w:rFonts w:hint="eastAsia" w:ascii="仿宋_GB2312" w:eastAsia="仿宋_GB2312"/>
          <w:sz w:val="32"/>
          <w:szCs w:val="32"/>
        </w:rPr>
        <w:t>根据财政要求，功能科目调整，自然资源宣传编辑教育经费</w:t>
      </w:r>
      <w:r>
        <w:rPr>
          <w:rFonts w:hint="eastAsia" w:ascii="仿宋_GB2312" w:eastAsia="仿宋_GB2312"/>
          <w:sz w:val="32"/>
          <w:szCs w:val="32"/>
          <w:lang w:val="en-US" w:eastAsia="zh-CN"/>
        </w:rPr>
        <w:t>由</w:t>
      </w:r>
      <w:r>
        <w:rPr>
          <w:rFonts w:ascii="仿宋_GB2312" w:eastAsia="仿宋_GB2312"/>
          <w:sz w:val="32"/>
          <w:szCs w:val="32"/>
        </w:rPr>
        <w:t>其他自然资源事务支出</w:t>
      </w:r>
      <w:r>
        <w:rPr>
          <w:rFonts w:hint="eastAsia" w:ascii="仿宋_GB2312" w:eastAsia="仿宋_GB2312"/>
          <w:sz w:val="32"/>
          <w:szCs w:val="32"/>
        </w:rPr>
        <w:t>变更为</w:t>
      </w:r>
      <w:r>
        <w:rPr>
          <w:rFonts w:ascii="仿宋_GB2312" w:eastAsia="仿宋_GB2312"/>
          <w:sz w:val="32"/>
          <w:szCs w:val="32"/>
        </w:rPr>
        <w:t>自然资源社会公益服务</w:t>
      </w:r>
      <w:r>
        <w:rPr>
          <w:rFonts w:hint="eastAsia" w:ascii="仿宋_GB2312" w:eastAsia="仿宋_GB2312"/>
          <w:sz w:val="32"/>
          <w:szCs w:val="32"/>
          <w:lang w:eastAsia="zh-CN"/>
        </w:rPr>
        <w:t>，</w:t>
      </w:r>
      <w:r>
        <w:rPr>
          <w:rFonts w:hint="eastAsia" w:ascii="仿宋_GB2312" w:eastAsia="仿宋_GB2312"/>
          <w:sz w:val="32"/>
          <w:szCs w:val="32"/>
          <w:lang w:val="en-US" w:eastAsia="zh-CN"/>
        </w:rPr>
        <w:t>经费较上年减少</w:t>
      </w:r>
      <w:r>
        <w:rPr>
          <w:rFonts w:hint="eastAsia" w:ascii="仿宋_GB2312" w:eastAsia="仿宋_GB2312"/>
          <w:sz w:val="32"/>
          <w:szCs w:val="32"/>
        </w:rPr>
        <w:t>。</w:t>
      </w:r>
    </w:p>
    <w:p w14:paraId="326B4F29">
      <w:pPr>
        <w:widowControl/>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lang w:val="en-US" w:eastAsia="zh-CN"/>
        </w:rPr>
        <w:t>.</w:t>
      </w:r>
      <w:r>
        <w:rPr>
          <w:rFonts w:ascii="仿宋_GB2312" w:eastAsia="仿宋_GB2312"/>
          <w:sz w:val="32"/>
          <w:szCs w:val="32"/>
        </w:rPr>
        <w:t>住房保障支出（类）住房改革支出（款）住房公积金（项）：支出决算数为16.44万元，比上年决算增加4.14万元，增长33.66%，主要原因是：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人员经费</w:t>
      </w:r>
      <w:r>
        <w:rPr>
          <w:rFonts w:hint="eastAsia" w:ascii="仿宋_GB2312" w:eastAsia="仿宋_GB2312"/>
          <w:sz w:val="32"/>
          <w:szCs w:val="32"/>
          <w:lang w:eastAsia="zh-CN"/>
        </w:rPr>
        <w:t>，</w:t>
      </w:r>
      <w:r>
        <w:rPr>
          <w:rFonts w:ascii="仿宋_GB2312" w:eastAsia="仿宋_GB2312"/>
          <w:sz w:val="32"/>
          <w:szCs w:val="32"/>
        </w:rPr>
        <w:t>住房公积金</w:t>
      </w:r>
      <w:r>
        <w:rPr>
          <w:rFonts w:hint="eastAsia" w:ascii="仿宋_GB2312" w:eastAsia="仿宋_GB2312"/>
          <w:sz w:val="32"/>
          <w:szCs w:val="32"/>
        </w:rPr>
        <w:t>支出增加。</w:t>
      </w:r>
    </w:p>
    <w:p w14:paraId="7D2F2CE5">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6E75043E">
      <w:pPr>
        <w:widowControl/>
        <w:ind w:firstLine="640" w:firstLineChars="200"/>
        <w:rPr>
          <w:rFonts w:ascii="仿宋_GB2312" w:eastAsia="仿宋_GB2312"/>
          <w:sz w:val="32"/>
          <w:szCs w:val="32"/>
        </w:rPr>
      </w:pPr>
      <w:r>
        <w:rPr>
          <w:rFonts w:ascii="仿宋_GB2312" w:eastAsia="仿宋_GB2312"/>
          <w:sz w:val="32"/>
          <w:szCs w:val="32"/>
        </w:rPr>
        <w:t>2025年度一般公共预算财政拨款基本支出247.60万元，其中：人员经费231.73万元，包括：基本工资、津贴补贴、奖金、绩效工资、机关事业单位基本养老保险缴费、职业年金缴费、职工基本医疗保险缴费、公务员医疗补助缴费、住房公积金、退休费、奖励金和其他对个人和家庭的补助。</w:t>
      </w:r>
    </w:p>
    <w:p w14:paraId="17BE41CC">
      <w:pPr>
        <w:widowControl/>
        <w:ind w:firstLine="640" w:firstLineChars="200"/>
        <w:rPr>
          <w:rFonts w:ascii="仿宋_GB2312" w:eastAsia="仿宋_GB2312"/>
          <w:sz w:val="32"/>
          <w:szCs w:val="32"/>
        </w:rPr>
      </w:pPr>
      <w:r>
        <w:rPr>
          <w:rFonts w:ascii="仿宋_GB2312" w:eastAsia="仿宋_GB2312"/>
          <w:sz w:val="32"/>
          <w:szCs w:val="32"/>
        </w:rPr>
        <w:t>公用经费15.87万元，包括：办公费、水费、电费、邮电费、物业管理费、差旅费、劳务费、工会经费、福利费和其他商品和服务支出。</w:t>
      </w:r>
    </w:p>
    <w:p w14:paraId="0260F436">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168FAEA5">
      <w:pPr>
        <w:widowControl/>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37FE2C7A">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78053179">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32EB1435">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1A138A92">
      <w:pPr>
        <w:widowControl/>
        <w:ind w:firstLine="640" w:firstLineChars="200"/>
        <w:rPr>
          <w:rFonts w:ascii="仿宋_GB2312" w:eastAsia="仿宋_GB2312"/>
          <w:sz w:val="32"/>
          <w:szCs w:val="32"/>
        </w:rPr>
      </w:pPr>
      <w:r>
        <w:rPr>
          <w:rFonts w:ascii="仿宋_GB2312" w:eastAsia="仿宋_GB2312"/>
          <w:sz w:val="32"/>
          <w:szCs w:val="32"/>
        </w:rPr>
        <w:t>2025年度财政拨款“三公”经费支出0.00万元，比上年增加0.00万元，增长0.00%，主要原因是：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无财政拨款“三公”经费支出</w:t>
      </w:r>
      <w:r>
        <w:rPr>
          <w:rFonts w:ascii="仿宋_GB2312" w:eastAsia="仿宋_GB2312"/>
          <w:sz w:val="32"/>
          <w:szCs w:val="32"/>
        </w:rPr>
        <w:t>。其中：因公出国（境）费用支出0.00万元,占0.00%，比上年增加0.00万元，增长0.00%，主要原因是：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无因公出国（境）费支出</w:t>
      </w:r>
      <w:r>
        <w:rPr>
          <w:rFonts w:ascii="仿宋_GB2312" w:eastAsia="仿宋_GB2312"/>
          <w:sz w:val="32"/>
          <w:szCs w:val="32"/>
        </w:rPr>
        <w:t>；公务用车购置及运行维护费支出0.00万元，占0.00%，比上年增加0.00万元，增长0.00%，主要原因是：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无公务用车购置及运行维护费支出</w:t>
      </w:r>
      <w:r>
        <w:rPr>
          <w:rFonts w:ascii="仿宋_GB2312" w:eastAsia="仿宋_GB2312"/>
          <w:sz w:val="32"/>
          <w:szCs w:val="32"/>
        </w:rPr>
        <w:t>；公务接待费支出0.00万元，占0.00%，比上年增加0.00万元，增长0.00%，主要原因是：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无公务接待费支出</w:t>
      </w:r>
      <w:r>
        <w:rPr>
          <w:rFonts w:ascii="仿宋_GB2312" w:eastAsia="仿宋_GB2312"/>
          <w:sz w:val="32"/>
          <w:szCs w:val="32"/>
        </w:rPr>
        <w:t>。</w:t>
      </w:r>
    </w:p>
    <w:p w14:paraId="3BBEAA3F">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2C3386E2">
      <w:pPr>
        <w:widowControl/>
        <w:ind w:firstLine="640" w:firstLineChars="200"/>
        <w:rPr>
          <w:rFonts w:ascii="仿宋_GB2312" w:eastAsia="仿宋_GB2312"/>
          <w:sz w:val="32"/>
          <w:szCs w:val="32"/>
        </w:rPr>
      </w:pPr>
      <w:r>
        <w:rPr>
          <w:rFonts w:ascii="仿宋_GB2312" w:eastAsia="仿宋_GB2312"/>
          <w:sz w:val="32"/>
          <w:szCs w:val="32"/>
        </w:rPr>
        <w:t>因公出国（境）费用0.00万元，开支内容包括</w:t>
      </w:r>
      <w:r>
        <w:rPr>
          <w:rFonts w:hint="eastAsia" w:ascii="仿宋_GB2312" w:eastAsia="仿宋_GB2312"/>
          <w:sz w:val="32"/>
          <w:szCs w:val="32"/>
        </w:rPr>
        <w:t>我单位无因公出国（境）费</w:t>
      </w:r>
      <w:r>
        <w:rPr>
          <w:rFonts w:ascii="仿宋_GB2312" w:eastAsia="仿宋_GB2312"/>
          <w:sz w:val="32"/>
          <w:szCs w:val="32"/>
        </w:rPr>
        <w:t>。单位全年安排的因公出国（境）团组0个，因公出国（境）0人次。</w:t>
      </w:r>
    </w:p>
    <w:p w14:paraId="4B114FD1">
      <w:pPr>
        <w:widowControl/>
        <w:ind w:firstLine="640" w:firstLineChars="20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ascii="仿宋_GB2312" w:eastAsia="仿宋_GB2312"/>
          <w:sz w:val="32"/>
          <w:szCs w:val="32"/>
        </w:rPr>
        <w:t>。公务用车购置数0辆，公务用车保有量0辆。国有资产占用情况中固定资产车辆1辆，与公务用车保有量差异原因是：</w:t>
      </w:r>
      <w:r>
        <w:rPr>
          <w:rFonts w:hint="eastAsia" w:ascii="仿宋_GB2312" w:eastAsia="仿宋_GB2312"/>
          <w:sz w:val="32"/>
          <w:szCs w:val="32"/>
          <w:lang w:val="en-US" w:eastAsia="zh-CN"/>
        </w:rPr>
        <w:t>我单位业务用车，预算未安排</w:t>
      </w:r>
      <w:r>
        <w:rPr>
          <w:rFonts w:hint="eastAsia" w:ascii="仿宋_GB2312" w:eastAsia="仿宋_GB2312"/>
          <w:sz w:val="32"/>
          <w:szCs w:val="32"/>
        </w:rPr>
        <w:t>公务用车运行维护费</w:t>
      </w:r>
      <w:r>
        <w:rPr>
          <w:rFonts w:hint="eastAsia" w:ascii="仿宋_GB2312" w:eastAsia="仿宋_GB2312"/>
          <w:sz w:val="32"/>
          <w:szCs w:val="32"/>
          <w:lang w:eastAsia="zh-CN"/>
        </w:rPr>
        <w:t>，</w:t>
      </w:r>
      <w:r>
        <w:rPr>
          <w:rFonts w:hint="eastAsia" w:ascii="仿宋_GB2312" w:eastAsia="仿宋_GB2312"/>
          <w:sz w:val="32"/>
          <w:szCs w:val="32"/>
          <w:lang w:val="en-US" w:eastAsia="zh-CN"/>
        </w:rPr>
        <w:t>经费由</w:t>
      </w:r>
      <w:r>
        <w:rPr>
          <w:rFonts w:ascii="仿宋_GB2312" w:eastAsia="仿宋_GB2312"/>
          <w:sz w:val="32"/>
          <w:szCs w:val="32"/>
        </w:rPr>
        <w:t>其他交通费</w:t>
      </w:r>
      <w:r>
        <w:rPr>
          <w:rFonts w:hint="eastAsia" w:ascii="仿宋_GB2312" w:eastAsia="仿宋_GB2312"/>
          <w:sz w:val="32"/>
          <w:szCs w:val="32"/>
          <w:lang w:val="en-US" w:eastAsia="zh-CN"/>
        </w:rPr>
        <w:t>保障</w:t>
      </w:r>
      <w:bookmarkStart w:id="0" w:name="_GoBack"/>
      <w:bookmarkEnd w:id="0"/>
      <w:r>
        <w:rPr>
          <w:rFonts w:ascii="仿宋_GB2312" w:eastAsia="仿宋_GB2312"/>
          <w:sz w:val="32"/>
          <w:szCs w:val="32"/>
        </w:rPr>
        <w:t>。</w:t>
      </w:r>
    </w:p>
    <w:p w14:paraId="10642801">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w:t>
      </w:r>
      <w:r>
        <w:rPr>
          <w:rFonts w:hint="eastAsia" w:ascii="仿宋_GB2312" w:eastAsia="仿宋_GB2312"/>
          <w:sz w:val="32"/>
          <w:szCs w:val="32"/>
        </w:rPr>
        <w:t>我单位无公务接待费支出</w:t>
      </w:r>
      <w:r>
        <w:rPr>
          <w:rFonts w:ascii="仿宋_GB2312" w:eastAsia="仿宋_GB2312"/>
          <w:sz w:val="32"/>
          <w:szCs w:val="32"/>
        </w:rPr>
        <w:t>。单位全年安排的国内公务接待0批次，0人次。</w:t>
      </w:r>
    </w:p>
    <w:p w14:paraId="6A8FAF44">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w:t>
      </w:r>
      <w:r>
        <w:rPr>
          <w:rFonts w:hint="eastAsia" w:ascii="仿宋_GB2312" w:eastAsia="仿宋_GB2312"/>
          <w:sz w:val="32"/>
          <w:szCs w:val="32"/>
        </w:rPr>
        <w:t>我单位无财政拨款“三公”经费支出</w:t>
      </w:r>
      <w:r>
        <w:rPr>
          <w:rFonts w:ascii="仿宋_GB2312" w:eastAsia="仿宋_GB2312"/>
          <w:sz w:val="32"/>
          <w:szCs w:val="32"/>
        </w:rPr>
        <w:t>。其中：因公出国（境）费用全年预算数0.00万元，决算数0.00万元，预决算差异率0.00%，主要原因是：</w:t>
      </w:r>
      <w:r>
        <w:rPr>
          <w:rFonts w:hint="eastAsia" w:ascii="仿宋_GB2312" w:eastAsia="仿宋_GB2312"/>
          <w:sz w:val="32"/>
          <w:szCs w:val="32"/>
        </w:rPr>
        <w:t>我单位无因公出国（境）费支出</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我单位无公务用车购置支出</w:t>
      </w:r>
      <w:r>
        <w:rPr>
          <w:rFonts w:ascii="仿宋_GB2312" w:eastAsia="仿宋_GB2312"/>
          <w:sz w:val="32"/>
          <w:szCs w:val="32"/>
        </w:rPr>
        <w:t>；公务用车运行维护费全年预算数0.00万元，决算数0.00万元，预决算差异率0.00%，主要原因是：</w:t>
      </w:r>
      <w:r>
        <w:rPr>
          <w:rFonts w:hint="eastAsia" w:ascii="仿宋_GB2312" w:eastAsia="仿宋_GB2312"/>
          <w:sz w:val="32"/>
          <w:szCs w:val="32"/>
        </w:rPr>
        <w:t>我单位无公务用车维护费支出</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我单位无公务接待费支出</w:t>
      </w:r>
      <w:r>
        <w:rPr>
          <w:rFonts w:ascii="仿宋_GB2312" w:eastAsia="仿宋_GB2312"/>
          <w:sz w:val="32"/>
          <w:szCs w:val="32"/>
        </w:rPr>
        <w:t>。</w:t>
      </w:r>
    </w:p>
    <w:p w14:paraId="25465135">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0A5CE72F">
      <w:pPr>
        <w:widowControl/>
        <w:ind w:firstLine="640" w:firstLineChars="200"/>
        <w:jc w:val="left"/>
        <w:outlineLvl w:val="2"/>
        <w:rPr>
          <w:rFonts w:ascii="黑体" w:eastAsia="黑体"/>
          <w:sz w:val="32"/>
          <w:szCs w:val="32"/>
        </w:rPr>
      </w:pPr>
      <w:r>
        <w:rPr>
          <w:rFonts w:ascii="黑体" w:eastAsia="黑体"/>
          <w:sz w:val="32"/>
          <w:szCs w:val="32"/>
        </w:rPr>
        <w:t>（一）机关运行经费及公用经费支出情况</w:t>
      </w:r>
    </w:p>
    <w:p w14:paraId="0CA97A32">
      <w:pPr>
        <w:widowControl/>
        <w:ind w:firstLine="640" w:firstLineChars="200"/>
        <w:rPr>
          <w:rFonts w:ascii="仿宋_GB2312" w:eastAsia="仿宋_GB2312"/>
          <w:sz w:val="32"/>
          <w:szCs w:val="32"/>
        </w:rPr>
      </w:pPr>
      <w:r>
        <w:rPr>
          <w:rFonts w:ascii="仿宋_GB2312" w:eastAsia="仿宋_GB2312"/>
          <w:sz w:val="32"/>
          <w:szCs w:val="32"/>
        </w:rPr>
        <w:t>2025年度新疆维吾尔自治区自然资源宣传教育中心（事业单位）公用经费支出15.87万元，比上年增加9.22万元，增长138.65%，主要原因是：</w:t>
      </w:r>
      <w:r>
        <w:rPr>
          <w:rFonts w:hint="eastAsia" w:ascii="仿宋_GB2312" w:eastAsia="仿宋_GB2312"/>
          <w:sz w:val="32"/>
          <w:szCs w:val="32"/>
        </w:rPr>
        <w:t>2025年机构改革，我单位为涉改单位，差额单位转全额，年中</w:t>
      </w:r>
      <w:r>
        <w:rPr>
          <w:rFonts w:hint="eastAsia" w:ascii="仿宋_GB2312" w:eastAsia="仿宋_GB2312"/>
          <w:sz w:val="32"/>
          <w:szCs w:val="32"/>
          <w:lang w:eastAsia="zh-CN"/>
        </w:rPr>
        <w:t>增加</w:t>
      </w:r>
      <w:r>
        <w:rPr>
          <w:rFonts w:hint="eastAsia" w:ascii="仿宋_GB2312" w:eastAsia="仿宋_GB2312"/>
          <w:sz w:val="32"/>
          <w:szCs w:val="32"/>
        </w:rPr>
        <w:t>预算</w:t>
      </w:r>
      <w:r>
        <w:rPr>
          <w:rFonts w:hint="eastAsia" w:ascii="仿宋_GB2312" w:eastAsia="仿宋_GB2312"/>
          <w:sz w:val="32"/>
          <w:szCs w:val="32"/>
          <w:lang w:eastAsia="zh-CN"/>
        </w:rPr>
        <w:t>，</w:t>
      </w:r>
      <w:r>
        <w:rPr>
          <w:rFonts w:hint="eastAsia" w:ascii="仿宋_GB2312" w:eastAsia="仿宋_GB2312"/>
          <w:sz w:val="32"/>
          <w:szCs w:val="32"/>
        </w:rPr>
        <w:t>相应的</w:t>
      </w:r>
      <w:r>
        <w:rPr>
          <w:rFonts w:ascii="仿宋_GB2312" w:eastAsia="仿宋_GB2312"/>
          <w:sz w:val="32"/>
          <w:szCs w:val="32"/>
        </w:rPr>
        <w:t>公用经费支出</w:t>
      </w:r>
      <w:r>
        <w:rPr>
          <w:rFonts w:hint="eastAsia" w:ascii="仿宋_GB2312" w:eastAsia="仿宋_GB2312"/>
          <w:sz w:val="32"/>
          <w:szCs w:val="32"/>
        </w:rPr>
        <w:t>增加</w:t>
      </w:r>
      <w:r>
        <w:rPr>
          <w:rFonts w:ascii="仿宋_GB2312" w:eastAsia="仿宋_GB2312"/>
          <w:sz w:val="32"/>
          <w:szCs w:val="32"/>
        </w:rPr>
        <w:t>。</w:t>
      </w:r>
    </w:p>
    <w:p w14:paraId="23A4B612">
      <w:pPr>
        <w:widowControl/>
        <w:ind w:firstLine="640" w:firstLineChars="200"/>
        <w:jc w:val="left"/>
        <w:outlineLvl w:val="2"/>
        <w:rPr>
          <w:rFonts w:ascii="黑体" w:eastAsia="黑体"/>
          <w:sz w:val="32"/>
          <w:szCs w:val="32"/>
        </w:rPr>
      </w:pPr>
      <w:r>
        <w:rPr>
          <w:rFonts w:ascii="黑体" w:eastAsia="黑体"/>
          <w:sz w:val="32"/>
          <w:szCs w:val="32"/>
        </w:rPr>
        <w:t>（二）政府采购情况</w:t>
      </w:r>
    </w:p>
    <w:p w14:paraId="544F1A4C">
      <w:pPr>
        <w:widowControl/>
        <w:ind w:firstLine="640" w:firstLineChars="200"/>
        <w:rPr>
          <w:rFonts w:ascii="仿宋_GB2312" w:eastAsia="仿宋_GB2312"/>
          <w:sz w:val="32"/>
          <w:szCs w:val="32"/>
        </w:rPr>
      </w:pPr>
      <w:r>
        <w:rPr>
          <w:rFonts w:ascii="仿宋_GB2312" w:eastAsia="仿宋_GB2312"/>
          <w:sz w:val="32"/>
          <w:szCs w:val="32"/>
        </w:rPr>
        <w:t>2025年度政府采购支出总额5.99万元，其中：政府采购货物支出5.99万元、政府采购工程支出0.00万元、政府采购服务支出0.00万元。</w:t>
      </w:r>
    </w:p>
    <w:p w14:paraId="26D6BD6A">
      <w:pPr>
        <w:widowControl/>
        <w:ind w:firstLine="640" w:firstLineChars="200"/>
        <w:rPr>
          <w:rFonts w:ascii="仿宋_GB2312" w:eastAsia="仿宋_GB2312"/>
          <w:sz w:val="32"/>
          <w:szCs w:val="32"/>
        </w:rPr>
      </w:pPr>
      <w:r>
        <w:rPr>
          <w:rFonts w:ascii="仿宋_GB2312" w:eastAsia="仿宋_GB2312"/>
          <w:sz w:val="32"/>
          <w:szCs w:val="32"/>
        </w:rPr>
        <w:t>授予中小企业合同金额5.99万元，占政府采购支出总额的100.00%，其中：授予小微企业合同金额5.99万元，占政府采购支出总额的100.00%。</w:t>
      </w:r>
    </w:p>
    <w:p w14:paraId="382C59B1">
      <w:pPr>
        <w:widowControl/>
        <w:ind w:firstLine="640" w:firstLineChars="200"/>
        <w:jc w:val="left"/>
        <w:outlineLvl w:val="2"/>
        <w:rPr>
          <w:rFonts w:ascii="黑体" w:eastAsia="黑体"/>
          <w:sz w:val="32"/>
          <w:szCs w:val="32"/>
        </w:rPr>
      </w:pPr>
      <w:r>
        <w:rPr>
          <w:rFonts w:ascii="黑体" w:eastAsia="黑体"/>
          <w:sz w:val="32"/>
          <w:szCs w:val="32"/>
        </w:rPr>
        <w:t>（三）国有资产占用情况说明</w:t>
      </w:r>
    </w:p>
    <w:p w14:paraId="48EA8366">
      <w:pPr>
        <w:widowControl/>
        <w:ind w:firstLine="640" w:firstLineChars="200"/>
        <w:rPr>
          <w:rFonts w:ascii="仿宋_GB2312" w:eastAsia="仿宋_GB2312"/>
          <w:sz w:val="32"/>
          <w:szCs w:val="32"/>
        </w:rPr>
      </w:pPr>
      <w:r>
        <w:rPr>
          <w:rFonts w:ascii="仿宋_GB2312" w:eastAsia="仿宋_GB2312"/>
          <w:sz w:val="32"/>
          <w:szCs w:val="32"/>
        </w:rPr>
        <w:t>截至2025年12月31日，房屋0.00平方米，价值0.00万元。车辆1辆，价值19.10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val="en-US" w:eastAsia="zh-CN"/>
        </w:rPr>
        <w:t>单位业务用车</w:t>
      </w:r>
      <w:r>
        <w:rPr>
          <w:rFonts w:ascii="仿宋_GB2312" w:eastAsia="仿宋_GB2312"/>
          <w:sz w:val="32"/>
          <w:szCs w:val="32"/>
        </w:rPr>
        <w:t>;单价100万元（含）以上设备（不含车辆）0台（套）。</w:t>
      </w:r>
    </w:p>
    <w:p w14:paraId="2D09E93F">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5FA349BD">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根据预算绩效管理要求，本单位2025年度预算绩效评价项目</w:t>
      </w:r>
      <w:r>
        <w:rPr>
          <w:rFonts w:hint="eastAsia" w:ascii="仿宋_GB2312" w:eastAsia="仿宋_GB2312"/>
          <w:sz w:val="32"/>
          <w:szCs w:val="32"/>
        </w:rPr>
        <w:t>1</w:t>
      </w:r>
      <w:r>
        <w:rPr>
          <w:rFonts w:ascii="仿宋_GB2312" w:eastAsia="仿宋_GB2312"/>
          <w:sz w:val="32"/>
          <w:szCs w:val="32"/>
        </w:rPr>
        <w:t>个，全年预算数</w:t>
      </w:r>
      <w:r>
        <w:rPr>
          <w:rFonts w:hint="eastAsia" w:ascii="仿宋_GB2312" w:eastAsia="仿宋_GB2312"/>
          <w:sz w:val="32"/>
          <w:szCs w:val="32"/>
        </w:rPr>
        <w:t>150.00</w:t>
      </w:r>
      <w:r>
        <w:rPr>
          <w:rFonts w:ascii="仿宋_GB2312" w:eastAsia="仿宋_GB2312"/>
          <w:sz w:val="32"/>
          <w:szCs w:val="32"/>
        </w:rPr>
        <w:t>万元，全年执行数</w:t>
      </w:r>
      <w:r>
        <w:rPr>
          <w:rFonts w:hint="eastAsia" w:ascii="仿宋_GB2312" w:eastAsia="仿宋_GB2312"/>
          <w:sz w:val="32"/>
          <w:szCs w:val="32"/>
        </w:rPr>
        <w:t>150.00</w:t>
      </w:r>
      <w:r>
        <w:rPr>
          <w:rFonts w:ascii="仿宋_GB2312" w:eastAsia="仿宋_GB2312"/>
          <w:sz w:val="32"/>
          <w:szCs w:val="32"/>
        </w:rPr>
        <w:t>万元。预算绩效管理取得的成效：</w:t>
      </w:r>
      <w:r>
        <w:rPr>
          <w:rFonts w:hint="eastAsia" w:ascii="仿宋_GB2312" w:eastAsia="仿宋_GB2312"/>
          <w:sz w:val="32"/>
          <w:szCs w:val="32"/>
        </w:rPr>
        <w:t>一是通过开展主题宣传工作任务在厅办公室（宣传办）指导下主要完成了6个主题日宣传拍摄录制视频、报刊杂志刊发署名文章、日常宣传工作；引导全社会了解自然资源现状、认清资源形势，提高公众保护资源、节约利用资源意识，提高各族人民群众科学防灾、减灾意识和能力为目标。二是通过开展教育培训工作任务，完成了以现场集中培训为主，视频方式培训为辅的形式开展培训计划。提升了全系统干部履行职责必备的基本知识、基本业务技能的提高。达到懂方针政策、懂法律法规、懂业务知识、履职尽责、会依法办事、会管理服务、会做群众工作的要求目标。三是完成了《新疆自然资源》杂志按期（双月刊）编印任务，提升相关自然资源宣传广度、深度等，提高认知率、普及率。发现的问题及原因：一是项目绩效监控管理的观念不够深入，认为只要财政资金使用合法合规，按计划完成任务就行，对项目预算绩效管理不够严谨；二是缺少专业的预算绩效监控管理人员把关，财务、效益等方面专业知识力量薄弱，特别对效益方面进行评估分析的人才较少；三是认为绩效目标知识单纯的编制报表，相关业务科室对其重要性理解不全面，在绩效评价参与方面有缺失。下一步改进措施：一是总结本年度项目管理、组织实施、资金管理等方面的不足，完善绩效管理方法，提高绩效管理水平，为下一年度项目计划和开展提供工作经验；二是进一步提高部门预算支出的财政保障水平。宣传教育中心将按照自治区财政项目支出绩效监控的工作要求，围绕绩效目标，加大对资金使用的监控力度，不断健全完善绩效目标指标体系，做到可量化、可考核，及时校正偏差，提高预算资金执行率。根据项目开展情况，提升各项目管理能力。</w:t>
      </w:r>
      <w:r>
        <w:rPr>
          <w:rFonts w:ascii="仿宋_GB2312" w:eastAsia="仿宋_GB2312"/>
          <w:sz w:val="32"/>
          <w:szCs w:val="32"/>
        </w:rPr>
        <w:t>具体附项目支出绩效自评表。</w:t>
      </w:r>
    </w:p>
    <w:p w14:paraId="470E2AD7">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30338EEF">
      <w:pPr>
        <w:widowControl/>
        <w:ind w:firstLine="640" w:firstLineChars="200"/>
        <w:rPr>
          <w:rFonts w:ascii="仿宋_GB2312" w:eastAsia="仿宋_GB2312"/>
          <w:sz w:val="32"/>
          <w:szCs w:val="32"/>
        </w:rPr>
      </w:pPr>
      <w:r>
        <w:rPr>
          <w:rFonts w:ascii="仿宋_GB2312" w:eastAsia="仿宋_GB2312"/>
          <w:sz w:val="32"/>
          <w:szCs w:val="32"/>
        </w:rPr>
        <w:t>本单位无其他需说明的事项。</w:t>
      </w:r>
    </w:p>
    <w:p w14:paraId="35291029">
      <w:pPr>
        <w:widowControl/>
        <w:ind w:firstLine="640" w:firstLineChars="200"/>
        <w:jc w:val="left"/>
        <w:rPr>
          <w:rFonts w:ascii="仿宋_GB2312" w:eastAsia="仿宋_GB2312"/>
          <w:sz w:val="32"/>
          <w:szCs w:val="32"/>
        </w:rPr>
      </w:pPr>
    </w:p>
    <w:p w14:paraId="2FAB834F">
      <w:pPr>
        <w:widowControl/>
      </w:pPr>
      <w:r>
        <w:rPr>
          <w:sz w:val="0"/>
          <w:szCs w:val="0"/>
        </w:rPr>
        <w:br w:type="page"/>
      </w:r>
    </w:p>
    <w:p w14:paraId="6E65647D">
      <w:pPr>
        <w:widowControl/>
        <w:jc w:val="center"/>
        <w:outlineLvl w:val="0"/>
        <w:rPr>
          <w:rFonts w:ascii="黑体" w:eastAsia="黑体"/>
          <w:sz w:val="32"/>
          <w:szCs w:val="32"/>
        </w:rPr>
      </w:pPr>
      <w:r>
        <w:rPr>
          <w:rFonts w:ascii="黑体" w:eastAsia="黑体"/>
          <w:sz w:val="32"/>
          <w:szCs w:val="32"/>
        </w:rPr>
        <w:t>第三部分专业名词解释</w:t>
      </w:r>
    </w:p>
    <w:p w14:paraId="12A77C62">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4463BFC6">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6E56A44">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58E158DA">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5CC9DB7C">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0AA3B961">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29B80E4E">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6917ECBB">
      <w:pPr>
        <w:widowControl/>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6499714A">
      <w:pPr>
        <w:widowControl/>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51DA90B2">
      <w:pPr>
        <w:widowControl/>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5F504D73">
      <w:pPr>
        <w:widowControl/>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5281D6E4">
      <w:pPr>
        <w:widowControl/>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61440F77">
      <w:pPr>
        <w:widowControl/>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759C187D">
      <w:pPr>
        <w:widowControl/>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5B0C2563">
      <w:pPr>
        <w:widowControl/>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2C134FF2">
      <w:pPr>
        <w:widowControl/>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7C471EA">
      <w:pPr>
        <w:widowControl/>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791A258D">
      <w:pPr>
        <w:widowControl/>
      </w:pPr>
      <w:r>
        <w:rPr>
          <w:sz w:val="0"/>
          <w:szCs w:val="0"/>
        </w:rPr>
        <w:br w:type="page"/>
      </w:r>
    </w:p>
    <w:p w14:paraId="4BED9749">
      <w:pPr>
        <w:widowControl/>
        <w:jc w:val="center"/>
        <w:outlineLvl w:val="0"/>
        <w:rPr>
          <w:rFonts w:ascii="黑体" w:eastAsia="黑体"/>
          <w:sz w:val="32"/>
          <w:szCs w:val="32"/>
        </w:rPr>
      </w:pPr>
      <w:r>
        <w:rPr>
          <w:rFonts w:ascii="黑体" w:eastAsia="黑体"/>
          <w:sz w:val="32"/>
          <w:szCs w:val="32"/>
        </w:rPr>
        <w:t>第四部分部门决算报表（见附表）</w:t>
      </w:r>
    </w:p>
    <w:p w14:paraId="038343E2">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7CAE7F4A">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00A676CC">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2D029E57">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631E34D0">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3F4B6216">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6E08D5FD">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2851B490">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D8374FF">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FA9C22-E6E3-4E5B-9606-FF219B6227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4C66AB12-5318-4FE3-BA7D-D50479AD0EDA}"/>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B797289C-3E9A-4344-9B36-0AAE526C938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splitPgBreakAndParaMark/>
    <w:compatSetting w:name="compatibilityMode" w:uri="http://schemas.microsoft.com/office/word" w:val="12"/>
  </w:compat>
  <w:rsids>
    <w:rsidRoot w:val="00FC1161"/>
    <w:rsid w:val="00282816"/>
    <w:rsid w:val="00465D63"/>
    <w:rsid w:val="004A3727"/>
    <w:rsid w:val="0081796E"/>
    <w:rsid w:val="00B847CD"/>
    <w:rsid w:val="00BC6E40"/>
    <w:rsid w:val="00DA5EF7"/>
    <w:rsid w:val="00E4640F"/>
    <w:rsid w:val="00ED1E57"/>
    <w:rsid w:val="00FC1161"/>
    <w:rsid w:val="00FF2370"/>
    <w:rsid w:val="09DF2033"/>
    <w:rsid w:val="0CB159A9"/>
    <w:rsid w:val="17FF186B"/>
    <w:rsid w:val="19DE0552"/>
    <w:rsid w:val="1E1127A0"/>
    <w:rsid w:val="2187174D"/>
    <w:rsid w:val="294C2C8D"/>
    <w:rsid w:val="2FAF520A"/>
    <w:rsid w:val="30204F41"/>
    <w:rsid w:val="30FC467D"/>
    <w:rsid w:val="388E39C5"/>
    <w:rsid w:val="469632F0"/>
    <w:rsid w:val="4C955077"/>
    <w:rsid w:val="4CD3769B"/>
    <w:rsid w:val="4F94090F"/>
    <w:rsid w:val="536760AB"/>
    <w:rsid w:val="555228CD"/>
    <w:rsid w:val="5CFA3C27"/>
    <w:rsid w:val="5D4F6666"/>
    <w:rsid w:val="61F6391B"/>
    <w:rsid w:val="64490334"/>
    <w:rsid w:val="663812C3"/>
    <w:rsid w:val="6F2550F3"/>
    <w:rsid w:val="71A54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6564</Words>
  <Characters>7259</Characters>
  <Lines>52</Lines>
  <Paragraphs>14</Paragraphs>
  <TotalTime>0</TotalTime>
  <ScaleCrop>false</ScaleCrop>
  <LinksUpToDate>false</LinksUpToDate>
  <CharactersWithSpaces>7259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2026-08-12T10:10:00Z</dcterms:created>
  <dc:creator>Administrator</dc:creator>
  <cp:lastModifiedBy>蹁跹</cp:lastModifiedBy>
  <dcterms:modified xsi:type="dcterms:W3CDTF">2026-08-25T09:01:07Z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eyJoZGlkIjoiNTBiYjFiYzY0OWM2ODlhYjA1NDAwODJkOGMwZGNkYTMiLCJ1c2VySWQiOiIxMTU3MzgyOTA5In0=</vt:lpwstr>
  </property>
  <property fmtid="{D5CDD505-2E9C-101B-9397-08002B2CF9AE}" pid="4" name="ICV">
    <vt:lpwstr>BE7530945BF946BB87830BA0C4058362_12</vt:lpwstr>
  </property>
</Properties>
</file>