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D02AE9">
      <w:pPr>
        <w:pStyle w:val="64"/>
        <w:jc w:val="left"/>
        <w:rPr>
          <w:rFonts w:ascii="Times New Roman" w:hAnsi="Times New Roman" w:eastAsia="黑体" w:cs="Times New Roman"/>
          <w:b w:val="0"/>
          <w:bCs w:val="0"/>
          <w:sz w:val="32"/>
          <w:szCs w:val="32"/>
        </w:rPr>
      </w:pPr>
      <w:bookmarkStart w:id="0" w:name="_Toc209387902"/>
      <w:bookmarkStart w:id="1" w:name="_Toc209391634"/>
      <w:bookmarkStart w:id="2" w:name="_Toc209388015"/>
      <w:bookmarkStart w:id="3" w:name="_Toc209388380"/>
      <w:bookmarkStart w:id="4" w:name="_Toc209388134"/>
      <w:bookmarkStart w:id="5" w:name="_Hlk80802894"/>
      <w:bookmarkStart w:id="286" w:name="_GoBack"/>
      <w:bookmarkEnd w:id="286"/>
    </w:p>
    <w:p w14:paraId="06719F84">
      <w:pPr>
        <w:pStyle w:val="64"/>
        <w:ind w:firstLine="800"/>
        <w:rPr>
          <w:rFonts w:ascii="Times New Roman" w:hAnsi="Times New Roman" w:cs="Times New Roman"/>
          <w:sz w:val="40"/>
          <w:szCs w:val="40"/>
        </w:rPr>
      </w:pPr>
    </w:p>
    <w:p w14:paraId="11587C92">
      <w:pPr>
        <w:pStyle w:val="64"/>
        <w:ind w:firstLine="800"/>
        <w:rPr>
          <w:rFonts w:ascii="Times New Roman" w:hAnsi="Times New Roman" w:cs="Times New Roman"/>
          <w:sz w:val="40"/>
          <w:szCs w:val="40"/>
        </w:rPr>
      </w:pPr>
    </w:p>
    <w:p w14:paraId="2B35E3E9">
      <w:pPr>
        <w:pStyle w:val="64"/>
        <w:ind w:firstLine="800"/>
        <w:rPr>
          <w:rFonts w:ascii="Times New Roman" w:hAnsi="Times New Roman" w:cs="Times New Roman"/>
          <w:sz w:val="40"/>
          <w:szCs w:val="40"/>
        </w:rPr>
      </w:pPr>
    </w:p>
    <w:p w14:paraId="46BA648B">
      <w:pPr>
        <w:ind w:firstLine="0" w:firstLineChars="0"/>
        <w:jc w:val="center"/>
        <w:rPr>
          <w:rFonts w:ascii="Times New Roman" w:hAnsi="Times New Roman" w:eastAsia="方正小标宋简体"/>
          <w:b/>
          <w:bCs/>
          <w:sz w:val="48"/>
          <w:szCs w:val="48"/>
        </w:rPr>
      </w:pPr>
      <w:r>
        <w:rPr>
          <w:rFonts w:ascii="Times New Roman" w:hAnsi="Times New Roman" w:eastAsia="方正小标宋简体"/>
          <w:b/>
          <w:bCs/>
          <w:sz w:val="48"/>
          <w:szCs w:val="48"/>
        </w:rPr>
        <w:t>新疆维吾尔自治区国土空间规划</w:t>
      </w:r>
    </w:p>
    <w:p w14:paraId="01730DCC">
      <w:pPr>
        <w:pStyle w:val="30"/>
        <w:ind w:firstLine="0" w:firstLineChars="0"/>
        <w:rPr>
          <w:rFonts w:ascii="Times New Roman" w:hAnsi="Times New Roman" w:eastAsia="方正小标宋简体"/>
        </w:rPr>
      </w:pPr>
      <w:r>
        <w:rPr>
          <w:rFonts w:hint="eastAsia" w:ascii="Times New Roman" w:hAnsi="Times New Roman" w:eastAsia="方正小标宋简体"/>
          <w:b/>
          <w:bCs/>
        </w:rPr>
        <w:t>2026年度</w:t>
      </w:r>
      <w:r>
        <w:rPr>
          <w:rFonts w:ascii="Times New Roman" w:hAnsi="Times New Roman" w:eastAsia="方正小标宋简体"/>
          <w:b/>
          <w:bCs/>
        </w:rPr>
        <w:t>动态维护方案</w:t>
      </w:r>
    </w:p>
    <w:p w14:paraId="74B9F0AE">
      <w:pPr>
        <w:ind w:firstLine="0" w:firstLineChars="0"/>
        <w:jc w:val="center"/>
        <w:rPr>
          <w:rFonts w:ascii="Times New Roman" w:hAnsi="Times New Roman" w:eastAsia="楷体_GB2312"/>
        </w:rPr>
      </w:pPr>
      <w:r>
        <w:rPr>
          <w:rFonts w:ascii="Times New Roman" w:hAnsi="Times New Roman" w:eastAsia="楷体_GB2312"/>
        </w:rPr>
        <w:t>（</w:t>
      </w:r>
      <w:r>
        <w:rPr>
          <w:rFonts w:hint="eastAsia" w:ascii="Times New Roman" w:hAnsi="Times New Roman" w:eastAsia="楷体_GB2312"/>
        </w:rPr>
        <w:t>公示</w:t>
      </w:r>
      <w:r>
        <w:rPr>
          <w:rFonts w:ascii="Times New Roman" w:hAnsi="Times New Roman" w:eastAsia="楷体_GB2312"/>
        </w:rPr>
        <w:t>稿）</w:t>
      </w:r>
    </w:p>
    <w:bookmarkEnd w:id="0"/>
    <w:bookmarkEnd w:id="1"/>
    <w:bookmarkEnd w:id="2"/>
    <w:bookmarkEnd w:id="3"/>
    <w:bookmarkEnd w:id="4"/>
    <w:bookmarkEnd w:id="5"/>
    <w:p w14:paraId="16C9CCD9">
      <w:pPr>
        <w:spacing w:line="240" w:lineRule="auto"/>
        <w:rPr>
          <w:rFonts w:ascii="Times New Roman" w:hAnsi="Times New Roman"/>
        </w:rPr>
      </w:pPr>
    </w:p>
    <w:p w14:paraId="110F6F41">
      <w:pPr>
        <w:spacing w:line="240" w:lineRule="auto"/>
        <w:rPr>
          <w:rFonts w:ascii="Times New Roman" w:hAnsi="Times New Roman"/>
        </w:rPr>
      </w:pPr>
    </w:p>
    <w:p w14:paraId="0536E03D">
      <w:pPr>
        <w:spacing w:line="240" w:lineRule="auto"/>
        <w:rPr>
          <w:rFonts w:ascii="Times New Roman" w:hAnsi="Times New Roman"/>
        </w:rPr>
      </w:pPr>
    </w:p>
    <w:p w14:paraId="009B5248">
      <w:pPr>
        <w:spacing w:line="240" w:lineRule="auto"/>
        <w:rPr>
          <w:rFonts w:ascii="Times New Roman" w:hAnsi="Times New Roman"/>
        </w:rPr>
      </w:pPr>
    </w:p>
    <w:p w14:paraId="6636FC68">
      <w:pPr>
        <w:spacing w:line="240" w:lineRule="auto"/>
        <w:rPr>
          <w:rFonts w:ascii="Times New Roman" w:hAnsi="Times New Roman"/>
        </w:rPr>
      </w:pPr>
    </w:p>
    <w:p w14:paraId="5FEB05B1">
      <w:pPr>
        <w:spacing w:line="240" w:lineRule="auto"/>
        <w:rPr>
          <w:rFonts w:ascii="Times New Roman" w:hAnsi="Times New Roman"/>
        </w:rPr>
      </w:pPr>
    </w:p>
    <w:p w14:paraId="356E1CD9">
      <w:pPr>
        <w:spacing w:line="240" w:lineRule="auto"/>
        <w:rPr>
          <w:rFonts w:ascii="Times New Roman" w:hAnsi="Times New Roman"/>
        </w:rPr>
      </w:pPr>
    </w:p>
    <w:p w14:paraId="5BD762A3">
      <w:pPr>
        <w:spacing w:line="240" w:lineRule="auto"/>
        <w:rPr>
          <w:rFonts w:ascii="Times New Roman" w:hAnsi="Times New Roman"/>
        </w:rPr>
      </w:pPr>
    </w:p>
    <w:p w14:paraId="4513C1B8">
      <w:pPr>
        <w:spacing w:line="240" w:lineRule="auto"/>
        <w:rPr>
          <w:rFonts w:ascii="Times New Roman" w:hAnsi="Times New Roman"/>
        </w:rPr>
      </w:pPr>
    </w:p>
    <w:p w14:paraId="1C4105F5">
      <w:pPr>
        <w:spacing w:line="240" w:lineRule="auto"/>
        <w:ind w:firstLine="0" w:firstLineChars="0"/>
        <w:rPr>
          <w:rFonts w:ascii="Times New Roman" w:hAnsi="Times New Roman"/>
        </w:rPr>
      </w:pPr>
    </w:p>
    <w:p w14:paraId="51B6D3D1">
      <w:pPr>
        <w:spacing w:line="240" w:lineRule="auto"/>
        <w:ind w:firstLine="0" w:firstLineChars="0"/>
        <w:rPr>
          <w:rFonts w:ascii="Times New Roman" w:hAnsi="Times New Roman"/>
        </w:rPr>
      </w:pPr>
    </w:p>
    <w:p w14:paraId="1C02BC6F">
      <w:pPr>
        <w:spacing w:line="240" w:lineRule="auto"/>
        <w:ind w:firstLine="0" w:firstLineChars="0"/>
        <w:rPr>
          <w:rFonts w:ascii="Times New Roman" w:hAnsi="Times New Roman"/>
        </w:rPr>
      </w:pPr>
    </w:p>
    <w:p w14:paraId="12BE4C45">
      <w:pPr>
        <w:spacing w:line="240" w:lineRule="auto"/>
        <w:ind w:firstLine="0" w:firstLineChars="0"/>
        <w:rPr>
          <w:rFonts w:ascii="Times New Roman" w:hAnsi="Times New Roman"/>
        </w:rPr>
      </w:pPr>
    </w:p>
    <w:p w14:paraId="3E42F8A2">
      <w:pPr>
        <w:spacing w:line="240" w:lineRule="auto"/>
        <w:ind w:firstLine="0" w:firstLineChars="0"/>
        <w:rPr>
          <w:rFonts w:ascii="Times New Roman" w:hAnsi="Times New Roman"/>
        </w:rPr>
      </w:pPr>
    </w:p>
    <w:p w14:paraId="715795DD">
      <w:pPr>
        <w:spacing w:line="240" w:lineRule="auto"/>
        <w:ind w:firstLine="0" w:firstLineChars="0"/>
        <w:rPr>
          <w:rFonts w:ascii="Times New Roman" w:hAnsi="Times New Roman"/>
        </w:rPr>
      </w:pPr>
    </w:p>
    <w:p w14:paraId="40546E36">
      <w:pPr>
        <w:spacing w:line="240" w:lineRule="auto"/>
        <w:rPr>
          <w:rFonts w:ascii="Times New Roman" w:hAnsi="Times New Roman"/>
        </w:rPr>
      </w:pPr>
    </w:p>
    <w:p w14:paraId="3A99148E">
      <w:pPr>
        <w:ind w:firstLine="0" w:firstLineChars="0"/>
        <w:jc w:val="center"/>
        <w:rPr>
          <w:rFonts w:ascii="Times New Roman" w:hAnsi="Times New Roman" w:eastAsia="黑体"/>
          <w:sz w:val="36"/>
          <w:szCs w:val="36"/>
        </w:rPr>
        <w:sectPr>
          <w:headerReference r:id="rId7" w:type="first"/>
          <w:footerReference r:id="rId10" w:type="first"/>
          <w:headerReference r:id="rId5" w:type="default"/>
          <w:footerReference r:id="rId8" w:type="default"/>
          <w:headerReference r:id="rId6" w:type="even"/>
          <w:footerReference r:id="rId9" w:type="even"/>
          <w:pgSz w:w="11906" w:h="16838"/>
          <w:pgMar w:top="1440" w:right="1474" w:bottom="1440" w:left="1587" w:header="851" w:footer="992" w:gutter="0"/>
          <w:cols w:space="425" w:num="1"/>
          <w:titlePg/>
          <w:docGrid w:type="lines" w:linePitch="435" w:charSpace="0"/>
        </w:sectPr>
      </w:pPr>
      <w:r>
        <w:rPr>
          <w:rFonts w:ascii="Times New Roman" w:hAnsi="Times New Roman" w:eastAsia="黑体"/>
          <w:sz w:val="36"/>
          <w:szCs w:val="36"/>
        </w:rPr>
        <w:t>2026年8</w:t>
      </w:r>
      <w:bookmarkStart w:id="6" w:name="_Toc3771"/>
      <w:bookmarkStart w:id="7" w:name="_Toc237355870"/>
      <w:bookmarkStart w:id="8" w:name="_Toc24783"/>
      <w:bookmarkStart w:id="9" w:name="_Toc237875590"/>
      <w:bookmarkStart w:id="10" w:name="_Toc493"/>
      <w:bookmarkStart w:id="11" w:name="_Toc28191"/>
      <w:bookmarkStart w:id="12" w:name="_Toc27087"/>
      <w:r>
        <w:rPr>
          <w:rFonts w:hint="eastAsia" w:ascii="Times New Roman" w:hAnsi="Times New Roman" w:eastAsia="黑体"/>
          <w:sz w:val="36"/>
          <w:szCs w:val="36"/>
        </w:rPr>
        <w:t>月</w:t>
      </w:r>
    </w:p>
    <w:p w14:paraId="0F7DD3A7">
      <w:pPr>
        <w:pStyle w:val="2"/>
        <w:numPr>
          <w:ilvl w:val="0"/>
          <w:numId w:val="0"/>
        </w:numPr>
        <w:spacing w:before="100" w:after="100"/>
      </w:pPr>
      <w:r>
        <w:t>前</w:t>
      </w:r>
      <w:r>
        <w:rPr>
          <w:rFonts w:hint="eastAsia"/>
        </w:rPr>
        <w:t xml:space="preserve">  </w:t>
      </w:r>
      <w:r>
        <w:t>言</w:t>
      </w:r>
      <w:bookmarkEnd w:id="6"/>
      <w:bookmarkEnd w:id="7"/>
      <w:bookmarkEnd w:id="8"/>
      <w:bookmarkEnd w:id="9"/>
      <w:bookmarkEnd w:id="10"/>
      <w:bookmarkEnd w:id="11"/>
      <w:bookmarkEnd w:id="12"/>
    </w:p>
    <w:p w14:paraId="0A9AA362">
      <w:pPr>
        <w:pStyle w:val="4"/>
        <w:numPr>
          <w:ilvl w:val="255"/>
          <w:numId w:val="0"/>
        </w:numPr>
        <w:ind w:firstLine="640"/>
        <w:rPr>
          <w:rFonts w:ascii="Times New Roman" w:hAnsi="Times New Roman" w:cs="Times New Roman"/>
          <w:sz w:val="32"/>
          <w:szCs w:val="32"/>
        </w:rPr>
      </w:pPr>
      <w:bookmarkStart w:id="13" w:name="_Toc676"/>
      <w:bookmarkStart w:id="14" w:name="_Toc11147"/>
      <w:bookmarkStart w:id="15" w:name="_Toc15116"/>
      <w:bookmarkStart w:id="16" w:name="_Toc237875591"/>
      <w:bookmarkStart w:id="17" w:name="_Toc237355871"/>
      <w:bookmarkStart w:id="18" w:name="_Toc2803"/>
      <w:bookmarkStart w:id="19" w:name="_Toc15910"/>
      <w:r>
        <w:rPr>
          <w:rFonts w:hint="eastAsia" w:ascii="Times New Roman" w:hAnsi="Times New Roman" w:cs="Times New Roman"/>
          <w:sz w:val="32"/>
          <w:szCs w:val="32"/>
        </w:rPr>
        <w:t>一、工作背景</w:t>
      </w:r>
      <w:bookmarkEnd w:id="13"/>
      <w:bookmarkEnd w:id="14"/>
      <w:bookmarkEnd w:id="15"/>
      <w:bookmarkEnd w:id="16"/>
      <w:bookmarkEnd w:id="17"/>
      <w:bookmarkEnd w:id="18"/>
      <w:bookmarkEnd w:id="19"/>
    </w:p>
    <w:p w14:paraId="4A8228CF">
      <w:pPr>
        <w:spacing w:line="560" w:lineRule="exact"/>
        <w:rPr>
          <w:rFonts w:ascii="Times New Roman" w:hAnsi="Times New Roman"/>
        </w:rPr>
      </w:pPr>
      <w:r>
        <w:rPr>
          <w:rFonts w:hint="eastAsia" w:ascii="Times New Roman" w:hAnsi="Times New Roman"/>
        </w:rPr>
        <w:t>为深入贯彻落实党的二十大、二十届历次全会和中央城市工作会议精神，全面落实《中共中央 国务院关于建立国土空间规划体系并监督实施的若干意见》（中发〔2019〕18号）关于“建立国土空间规划定期评估制度，结合国民经济社会发展实际和规划定期评估结果，对国土空间规划进行动态调整完善”的决策部署，</w:t>
      </w:r>
      <w:r>
        <w:rPr>
          <w:rFonts w:ascii="Times New Roman" w:hAnsi="Times New Roman"/>
        </w:rPr>
        <w:t>完整准确全面贯彻新发展理念和新时代党的治疆方略，牢牢扭住社会稳定和长治久安工作总目标，坚持以铸牢中华民族共同体意识为主线，锚定党中央赋予新疆的“五大战略定位”</w:t>
      </w:r>
      <w:r>
        <w:rPr>
          <w:rFonts w:hint="eastAsia" w:ascii="Times New Roman" w:hAnsi="Times New Roman"/>
        </w:rPr>
        <w:t>，统筹发展和安全，做好国土空间规划顶层设计，发挥国土空间规划在推动城镇化发展、促进国土空间合理利用和有效保护方面的积极作用，按照《自然资源部 国家林业和草原局关于进一步做好自然资源要素保障的通知》（自然资发〔2026〕38号）关于“建立规划动态维护机制”要求，全面对接“十五五”发展规划、相关专项规划以及规划实施的新形势和新要求，开展《新疆维吾尔自治区国土空间规划（2021—2035年）》（以下简称《规划》）动态维护工作。</w:t>
      </w:r>
    </w:p>
    <w:p w14:paraId="5E1DF01C">
      <w:pPr>
        <w:pStyle w:val="4"/>
        <w:numPr>
          <w:ilvl w:val="255"/>
          <w:numId w:val="0"/>
        </w:numPr>
        <w:ind w:firstLine="640"/>
        <w:rPr>
          <w:rFonts w:ascii="Times New Roman" w:hAnsi="Times New Roman" w:cs="Times New Roman"/>
          <w:sz w:val="32"/>
          <w:szCs w:val="32"/>
        </w:rPr>
      </w:pPr>
      <w:bookmarkStart w:id="20" w:name="_Toc7410"/>
      <w:bookmarkStart w:id="21" w:name="_Toc20972"/>
      <w:bookmarkStart w:id="22" w:name="_Toc237875592"/>
      <w:bookmarkStart w:id="23" w:name="_Toc7955"/>
      <w:bookmarkStart w:id="24" w:name="_Toc18967"/>
      <w:bookmarkStart w:id="25" w:name="_Toc29531"/>
      <w:bookmarkStart w:id="26" w:name="_Toc237355873"/>
      <w:r>
        <w:rPr>
          <w:rFonts w:hint="eastAsia" w:ascii="Times New Roman" w:hAnsi="Times New Roman" w:cs="Times New Roman"/>
          <w:sz w:val="32"/>
          <w:szCs w:val="32"/>
        </w:rPr>
        <w:t>二、编制依据</w:t>
      </w:r>
      <w:bookmarkEnd w:id="20"/>
      <w:bookmarkEnd w:id="21"/>
      <w:bookmarkEnd w:id="22"/>
      <w:bookmarkEnd w:id="23"/>
      <w:bookmarkEnd w:id="24"/>
      <w:bookmarkEnd w:id="25"/>
      <w:bookmarkEnd w:id="26"/>
    </w:p>
    <w:p w14:paraId="63B7D676">
      <w:pPr>
        <w:pStyle w:val="6"/>
        <w:numPr>
          <w:ilvl w:val="255"/>
          <w:numId w:val="0"/>
        </w:numPr>
        <w:spacing w:line="560" w:lineRule="exact"/>
        <w:ind w:firstLine="640" w:firstLineChars="200"/>
        <w:rPr>
          <w:rFonts w:ascii="Times New Roman" w:hAnsi="Times New Roman"/>
        </w:rPr>
      </w:pPr>
      <w:r>
        <w:rPr>
          <w:rFonts w:ascii="Times New Roman" w:hAnsi="Times New Roman"/>
        </w:rPr>
        <w:t>1.</w:t>
      </w:r>
      <w:r>
        <w:rPr>
          <w:rFonts w:hint="eastAsia" w:ascii="Times New Roman" w:hAnsi="Times New Roman"/>
        </w:rPr>
        <w:t>《中共中央 国务院关于建立国土空间规划体系并监督实施的若干意见》（中发〔2019〕18号）</w:t>
      </w:r>
    </w:p>
    <w:p w14:paraId="5F4B448A">
      <w:pPr>
        <w:pStyle w:val="6"/>
        <w:numPr>
          <w:ilvl w:val="255"/>
          <w:numId w:val="0"/>
        </w:numPr>
        <w:spacing w:line="560" w:lineRule="exact"/>
        <w:ind w:firstLine="640" w:firstLineChars="200"/>
        <w:rPr>
          <w:rFonts w:ascii="Times New Roman" w:hAnsi="Times New Roman"/>
        </w:rPr>
      </w:pPr>
      <w:r>
        <w:rPr>
          <w:rFonts w:ascii="Times New Roman" w:hAnsi="Times New Roman"/>
        </w:rPr>
        <w:t>2.</w:t>
      </w:r>
      <w:r>
        <w:rPr>
          <w:rFonts w:hint="eastAsia" w:ascii="Times New Roman" w:hAnsi="Times New Roman"/>
        </w:rPr>
        <w:t>《中华人民共和国国民经济和社会发展第十五个五年规划纲要》</w:t>
      </w:r>
    </w:p>
    <w:p w14:paraId="412A9EA8">
      <w:pPr>
        <w:pStyle w:val="6"/>
        <w:numPr>
          <w:ilvl w:val="255"/>
          <w:numId w:val="0"/>
        </w:numPr>
        <w:spacing w:line="560" w:lineRule="exact"/>
        <w:ind w:firstLine="640" w:firstLineChars="200"/>
        <w:rPr>
          <w:rFonts w:ascii="Times New Roman" w:hAnsi="Times New Roman"/>
        </w:rPr>
      </w:pPr>
      <w:r>
        <w:rPr>
          <w:rFonts w:hint="eastAsia" w:ascii="Times New Roman" w:hAnsi="Times New Roman"/>
        </w:rPr>
        <w:t>3</w:t>
      </w:r>
      <w:r>
        <w:rPr>
          <w:rFonts w:ascii="Times New Roman" w:hAnsi="Times New Roman"/>
        </w:rPr>
        <w:t>.</w:t>
      </w:r>
      <w:r>
        <w:rPr>
          <w:rFonts w:hint="eastAsia" w:ascii="Times New Roman" w:hAnsi="Times New Roman"/>
        </w:rPr>
        <w:t>《自然资源部 农业农村部关于印发〈永久基本农田保护红线管理办法〉的令》（自然资源部、农业农村部令第17号）</w:t>
      </w:r>
    </w:p>
    <w:p w14:paraId="4AED3FE5">
      <w:pPr>
        <w:pStyle w:val="6"/>
        <w:numPr>
          <w:ilvl w:val="255"/>
          <w:numId w:val="0"/>
        </w:numPr>
        <w:spacing w:line="560" w:lineRule="exact"/>
        <w:ind w:firstLine="640" w:firstLineChars="200"/>
        <w:rPr>
          <w:rFonts w:ascii="Times New Roman" w:hAnsi="Times New Roman"/>
        </w:rPr>
      </w:pPr>
      <w:r>
        <w:rPr>
          <w:rFonts w:hint="eastAsia" w:ascii="Times New Roman" w:hAnsi="Times New Roman"/>
        </w:rPr>
        <w:t>4</w:t>
      </w:r>
      <w:r>
        <w:rPr>
          <w:rFonts w:ascii="Times New Roman" w:hAnsi="Times New Roman"/>
        </w:rPr>
        <w:t>.</w:t>
      </w:r>
      <w:r>
        <w:rPr>
          <w:rFonts w:hint="eastAsia" w:ascii="Times New Roman" w:hAnsi="Times New Roman"/>
        </w:rPr>
        <w:t>《自然资源部关于印发</w:t>
      </w:r>
      <w:r>
        <w:rPr>
          <w:rFonts w:hint="eastAsia" w:ascii="华文中宋" w:hAnsi="华文中宋" w:eastAsia="华文中宋" w:cs="华文中宋"/>
        </w:rPr>
        <w:t>〈</w:t>
      </w:r>
      <w:r>
        <w:rPr>
          <w:rFonts w:hint="eastAsia" w:ascii="Times New Roman" w:hAnsi="Times New Roman"/>
        </w:rPr>
        <w:t>城镇开发边界管理办法（试行）</w:t>
      </w:r>
      <w:r>
        <w:rPr>
          <w:rFonts w:hint="eastAsia" w:ascii="华文中宋" w:hAnsi="华文中宋" w:eastAsia="华文中宋" w:cs="华文中宋"/>
        </w:rPr>
        <w:t>〉</w:t>
      </w:r>
      <w:r>
        <w:rPr>
          <w:rFonts w:hint="eastAsia" w:ascii="Times New Roman" w:hAnsi="Times New Roman"/>
        </w:rPr>
        <w:t>的通知》（自然资规〔2026〕1号）</w:t>
      </w:r>
    </w:p>
    <w:p w14:paraId="6955B4B2">
      <w:pPr>
        <w:pStyle w:val="6"/>
        <w:numPr>
          <w:ilvl w:val="255"/>
          <w:numId w:val="0"/>
        </w:numPr>
        <w:spacing w:line="560" w:lineRule="exact"/>
        <w:ind w:firstLine="640" w:firstLineChars="200"/>
        <w:rPr>
          <w:rFonts w:ascii="Times New Roman" w:hAnsi="Times New Roman"/>
        </w:rPr>
      </w:pPr>
      <w:r>
        <w:rPr>
          <w:rFonts w:hint="eastAsia" w:ascii="Times New Roman" w:hAnsi="Times New Roman"/>
        </w:rPr>
        <w:t>5</w:t>
      </w:r>
      <w:r>
        <w:rPr>
          <w:rFonts w:ascii="Times New Roman" w:hAnsi="Times New Roman"/>
        </w:rPr>
        <w:t>.</w:t>
      </w:r>
      <w:r>
        <w:rPr>
          <w:rFonts w:hint="eastAsia" w:ascii="Times New Roman" w:hAnsi="Times New Roman"/>
        </w:rPr>
        <w:t>《自然资源部 国家林业和草原局关于进一步做好自然资源要素保障的通知》（自然资发〔2026〕38号）</w:t>
      </w:r>
    </w:p>
    <w:p w14:paraId="68384D74">
      <w:pPr>
        <w:pStyle w:val="6"/>
        <w:numPr>
          <w:ilvl w:val="255"/>
          <w:numId w:val="0"/>
        </w:numPr>
        <w:spacing w:line="560" w:lineRule="exact"/>
        <w:ind w:firstLine="640" w:firstLineChars="200"/>
        <w:rPr>
          <w:rFonts w:ascii="Times New Roman" w:hAnsi="Times New Roman"/>
        </w:rPr>
      </w:pPr>
      <w:r>
        <w:rPr>
          <w:rFonts w:hint="eastAsia" w:ascii="Times New Roman" w:hAnsi="Times New Roman"/>
        </w:rPr>
        <w:t>6</w:t>
      </w:r>
      <w:r>
        <w:rPr>
          <w:rFonts w:ascii="Times New Roman" w:hAnsi="Times New Roman"/>
        </w:rPr>
        <w:t>.</w:t>
      </w:r>
      <w:r>
        <w:rPr>
          <w:rFonts w:hint="eastAsia" w:ascii="Times New Roman" w:hAnsi="Times New Roman"/>
        </w:rPr>
        <w:t>《关于开展全区国土空间总体规划动态调整完善工作的通知》（新自然资办发〔2026〕13号）</w:t>
      </w:r>
    </w:p>
    <w:p w14:paraId="34EA6830">
      <w:pPr>
        <w:pStyle w:val="6"/>
        <w:numPr>
          <w:ilvl w:val="255"/>
          <w:numId w:val="0"/>
        </w:numPr>
        <w:spacing w:line="560" w:lineRule="exact"/>
        <w:ind w:firstLine="640" w:firstLineChars="200"/>
        <w:rPr>
          <w:rFonts w:ascii="Times New Roman" w:hAnsi="Times New Roman"/>
        </w:rPr>
      </w:pPr>
      <w:r>
        <w:rPr>
          <w:rFonts w:hint="eastAsia" w:ascii="Times New Roman" w:hAnsi="Times New Roman"/>
        </w:rPr>
        <w:t>7.《新疆维吾尔自治区国民经济和社会发展第十五个五年规划纲要》</w:t>
      </w:r>
    </w:p>
    <w:p w14:paraId="169A3085">
      <w:pPr>
        <w:pStyle w:val="6"/>
        <w:numPr>
          <w:ilvl w:val="255"/>
          <w:numId w:val="0"/>
        </w:numPr>
        <w:spacing w:line="560" w:lineRule="exact"/>
        <w:ind w:firstLine="640" w:firstLineChars="200"/>
        <w:rPr>
          <w:rFonts w:ascii="Times New Roman" w:hAnsi="Times New Roman"/>
        </w:rPr>
      </w:pPr>
      <w:r>
        <w:rPr>
          <w:rFonts w:hint="eastAsia" w:ascii="Times New Roman" w:hAnsi="Times New Roman"/>
        </w:rPr>
        <w:t>8</w:t>
      </w:r>
      <w:r>
        <w:rPr>
          <w:rFonts w:ascii="Times New Roman" w:hAnsi="Times New Roman"/>
        </w:rPr>
        <w:t>.</w:t>
      </w:r>
      <w:r>
        <w:rPr>
          <w:rFonts w:hint="eastAsia" w:ascii="Times New Roman" w:hAnsi="Times New Roman"/>
        </w:rPr>
        <w:t>其他法律法规、政策文件和标准规范。</w:t>
      </w:r>
    </w:p>
    <w:p w14:paraId="194B81F1">
      <w:pPr>
        <w:pStyle w:val="4"/>
        <w:numPr>
          <w:ilvl w:val="255"/>
          <w:numId w:val="0"/>
        </w:numPr>
        <w:ind w:firstLine="640"/>
        <w:rPr>
          <w:rFonts w:ascii="Times New Roman" w:hAnsi="Times New Roman" w:cs="Times New Roman"/>
          <w:sz w:val="32"/>
          <w:szCs w:val="32"/>
        </w:rPr>
      </w:pPr>
      <w:bookmarkStart w:id="27" w:name="_Toc237875593"/>
      <w:bookmarkStart w:id="28" w:name="_Toc20336"/>
      <w:bookmarkStart w:id="29" w:name="_Toc237355874"/>
      <w:bookmarkStart w:id="30" w:name="_Toc18046"/>
      <w:bookmarkStart w:id="31" w:name="_Toc16288"/>
      <w:bookmarkStart w:id="32" w:name="_Toc19703"/>
      <w:bookmarkStart w:id="33" w:name="_Toc12545"/>
      <w:r>
        <w:rPr>
          <w:rFonts w:hint="eastAsia" w:ascii="Times New Roman" w:hAnsi="Times New Roman" w:cs="Times New Roman"/>
          <w:sz w:val="32"/>
          <w:szCs w:val="32"/>
        </w:rPr>
        <w:t>三、编制范围</w:t>
      </w:r>
      <w:bookmarkEnd w:id="27"/>
      <w:bookmarkEnd w:id="28"/>
      <w:bookmarkEnd w:id="29"/>
      <w:bookmarkEnd w:id="30"/>
      <w:bookmarkEnd w:id="31"/>
      <w:bookmarkEnd w:id="32"/>
      <w:bookmarkEnd w:id="33"/>
    </w:p>
    <w:p w14:paraId="5607CD07">
      <w:pPr>
        <w:spacing w:line="560" w:lineRule="exact"/>
        <w:rPr>
          <w:rFonts w:ascii="Times New Roman" w:hAnsi="Times New Roman"/>
        </w:rPr>
      </w:pPr>
      <w:r>
        <w:rPr>
          <w:rFonts w:hint="eastAsia" w:ascii="Times New Roman" w:hAnsi="Times New Roman"/>
        </w:rPr>
        <w:t>本次动态维护方案的编制范围为新疆维吾尔自治区全部行政辖区范围。</w:t>
      </w:r>
    </w:p>
    <w:p w14:paraId="258CDF6A">
      <w:pPr>
        <w:pStyle w:val="4"/>
        <w:numPr>
          <w:ilvl w:val="255"/>
          <w:numId w:val="0"/>
        </w:numPr>
        <w:ind w:firstLine="640"/>
        <w:rPr>
          <w:rFonts w:ascii="Times New Roman" w:hAnsi="Times New Roman" w:cs="Times New Roman"/>
          <w:sz w:val="32"/>
          <w:szCs w:val="32"/>
        </w:rPr>
      </w:pPr>
      <w:bookmarkStart w:id="34" w:name="_Toc23790"/>
      <w:bookmarkStart w:id="35" w:name="_Toc18350"/>
      <w:bookmarkStart w:id="36" w:name="_Toc9008"/>
      <w:bookmarkStart w:id="37" w:name="_Toc22162"/>
      <w:bookmarkStart w:id="38" w:name="_Toc1892"/>
      <w:bookmarkStart w:id="39" w:name="_Toc237355875"/>
      <w:bookmarkStart w:id="40" w:name="_Toc237875594"/>
      <w:r>
        <w:rPr>
          <w:rFonts w:hint="eastAsia" w:ascii="Times New Roman" w:hAnsi="Times New Roman" w:cs="Times New Roman"/>
          <w:sz w:val="32"/>
          <w:szCs w:val="32"/>
        </w:rPr>
        <w:t>四、编制原则</w:t>
      </w:r>
      <w:bookmarkEnd w:id="34"/>
      <w:bookmarkEnd w:id="35"/>
      <w:bookmarkEnd w:id="36"/>
      <w:bookmarkEnd w:id="37"/>
      <w:bookmarkEnd w:id="38"/>
      <w:bookmarkEnd w:id="39"/>
      <w:bookmarkEnd w:id="40"/>
    </w:p>
    <w:p w14:paraId="02371C85">
      <w:pPr>
        <w:spacing w:line="560" w:lineRule="exact"/>
        <w:rPr>
          <w:rFonts w:ascii="Times New Roman" w:hAnsi="Times New Roman"/>
        </w:rPr>
      </w:pPr>
      <w:r>
        <w:rPr>
          <w:rFonts w:hint="eastAsia" w:ascii="Times New Roman" w:hAnsi="Times New Roman"/>
        </w:rPr>
        <w:t>坚持评估引导、因需施策。以国土空间规划实施评估为基础，紧扣重大战略实施、重大项目落地和重点领域空间需求，切实提升国土空间规划对自治区高质量发展的支撑保障能力。</w:t>
      </w:r>
    </w:p>
    <w:p w14:paraId="3B57BE71">
      <w:pPr>
        <w:spacing w:line="560" w:lineRule="exact"/>
        <w:rPr>
          <w:rFonts w:ascii="Times New Roman" w:hAnsi="Times New Roman"/>
        </w:rPr>
      </w:pPr>
      <w:r>
        <w:rPr>
          <w:rFonts w:hint="eastAsia" w:ascii="Times New Roman" w:hAnsi="Times New Roman"/>
        </w:rPr>
        <w:t>坚持正向优化、严守底线。严格落实耕地和永久基本农田、生态保护红线、城镇开发边界等管控要求，在不突破约束性指标、不改变总体格局的前提下开展动态维护，确保维护成果符合有关正向优化要求。</w:t>
      </w:r>
    </w:p>
    <w:p w14:paraId="782AF25E">
      <w:pPr>
        <w:spacing w:line="560" w:lineRule="exact"/>
        <w:rPr>
          <w:rFonts w:ascii="Times New Roman" w:hAnsi="Times New Roman"/>
        </w:rPr>
      </w:pPr>
      <w:r>
        <w:rPr>
          <w:rFonts w:hint="eastAsia" w:ascii="Times New Roman" w:hAnsi="Times New Roman"/>
        </w:rPr>
        <w:t>坚持战略引领、精准保障。围绕自治区重大战略实施和重点建设任务，主动衔接相关行业主管部门空间诉求，统筹做好重大建设项目空间保障，切实提升国土空间规划对自治区高质量发展的支撑保障能力。</w:t>
      </w:r>
    </w:p>
    <w:p w14:paraId="67C6BE55">
      <w:pPr>
        <w:spacing w:line="560" w:lineRule="exact"/>
        <w:rPr>
          <w:rFonts w:ascii="Times New Roman" w:hAnsi="Times New Roman"/>
        </w:rPr>
      </w:pPr>
      <w:r>
        <w:rPr>
          <w:rFonts w:ascii="Times New Roman" w:hAnsi="Times New Roman"/>
        </w:rPr>
        <w:t>坚持上下衔接、强化传导。依托自然资源管理和国土空间规划“一张图”，加强自治区动态维护成果与地（州、市）、县级规划衔接，确保动态维护成果有效传导落实，成为规划管理和地方实施的统一依据。</w:t>
      </w:r>
    </w:p>
    <w:p w14:paraId="3E1EFEE5">
      <w:pPr>
        <w:widowControl/>
        <w:spacing w:line="560" w:lineRule="exact"/>
        <w:rPr>
          <w:rFonts w:ascii="Times New Roman" w:hAnsi="Times New Roman"/>
        </w:rPr>
      </w:pPr>
      <w:r>
        <w:rPr>
          <w:rFonts w:ascii="Times New Roman" w:hAnsi="Times New Roman"/>
        </w:rPr>
        <w:br w:type="page"/>
      </w:r>
    </w:p>
    <w:p w14:paraId="6B05CE39">
      <w:pPr>
        <w:pStyle w:val="2"/>
        <w:spacing w:beforeAutospacing="0" w:afterAutospacing="0"/>
        <w:ind w:firstLine="803" w:firstLineChars="200"/>
        <w:rPr>
          <w:rFonts w:ascii="Times New Roman" w:hAnsi="Times New Roman" w:cs="Times New Roman"/>
          <w:color w:val="auto"/>
        </w:rPr>
      </w:pPr>
      <w:bookmarkStart w:id="41" w:name="_Toc237875595"/>
      <w:bookmarkStart w:id="42" w:name="_Toc18288"/>
      <w:bookmarkStart w:id="43" w:name="_Toc16858"/>
      <w:bookmarkStart w:id="44" w:name="_Toc13174"/>
      <w:bookmarkStart w:id="45" w:name="_Toc25232"/>
      <w:bookmarkStart w:id="46" w:name="_Toc237355876"/>
      <w:bookmarkStart w:id="47" w:name="_Toc2546"/>
      <w:r>
        <w:rPr>
          <w:rFonts w:hint="eastAsia" w:ascii="Times New Roman" w:hAnsi="Times New Roman" w:cs="Times New Roman"/>
          <w:color w:val="auto"/>
        </w:rPr>
        <w:t xml:space="preserve"> </w:t>
      </w:r>
      <w:r>
        <w:rPr>
          <w:rFonts w:ascii="Times New Roman" w:hAnsi="Times New Roman" w:cs="Times New Roman"/>
          <w:color w:val="auto"/>
        </w:rPr>
        <w:t>规划实施评估结论</w:t>
      </w:r>
      <w:bookmarkEnd w:id="41"/>
      <w:bookmarkEnd w:id="42"/>
      <w:bookmarkEnd w:id="43"/>
      <w:bookmarkEnd w:id="44"/>
      <w:bookmarkEnd w:id="45"/>
      <w:bookmarkEnd w:id="46"/>
      <w:bookmarkEnd w:id="47"/>
    </w:p>
    <w:p w14:paraId="3D22B817"/>
    <w:p w14:paraId="28DFD0A0">
      <w:pPr>
        <w:pStyle w:val="4"/>
        <w:numPr>
          <w:ilvl w:val="0"/>
          <w:numId w:val="8"/>
        </w:numPr>
        <w:ind w:firstLineChars="0"/>
        <w:rPr>
          <w:rFonts w:ascii="Times New Roman" w:hAnsi="Times New Roman" w:cs="Times New Roman"/>
          <w:sz w:val="32"/>
          <w:szCs w:val="32"/>
        </w:rPr>
      </w:pPr>
      <w:bookmarkStart w:id="48" w:name="_Toc32460"/>
      <w:bookmarkStart w:id="49" w:name="_Toc27655"/>
      <w:bookmarkStart w:id="50" w:name="_Toc237875596"/>
      <w:bookmarkStart w:id="51" w:name="_Toc7703"/>
      <w:bookmarkStart w:id="52" w:name="_Toc8884"/>
      <w:bookmarkStart w:id="53" w:name="_Toc237355877"/>
      <w:bookmarkStart w:id="54" w:name="_Toc5619"/>
      <w:r>
        <w:rPr>
          <w:rFonts w:ascii="Times New Roman" w:hAnsi="Times New Roman" w:cs="Times New Roman"/>
          <w:sz w:val="32"/>
          <w:szCs w:val="32"/>
        </w:rPr>
        <w:t>阶段性成效</w:t>
      </w:r>
      <w:bookmarkEnd w:id="48"/>
      <w:bookmarkEnd w:id="49"/>
      <w:bookmarkEnd w:id="50"/>
      <w:bookmarkEnd w:id="51"/>
      <w:bookmarkEnd w:id="52"/>
      <w:bookmarkEnd w:id="53"/>
      <w:bookmarkEnd w:id="54"/>
    </w:p>
    <w:p w14:paraId="31C724E8">
      <w:pPr>
        <w:numPr>
          <w:ilvl w:val="255"/>
          <w:numId w:val="0"/>
        </w:numPr>
        <w:spacing w:line="560" w:lineRule="exact"/>
        <w:ind w:left="640" w:leftChars="200"/>
        <w:rPr>
          <w:rFonts w:ascii="Times New Roman" w:hAnsi="Times New Roman" w:eastAsia="楷体_GB2312"/>
        </w:rPr>
      </w:pPr>
      <w:bookmarkStart w:id="55" w:name="_Toc237355878"/>
      <w:bookmarkStart w:id="56" w:name="_Toc72146043"/>
      <w:bookmarkStart w:id="57" w:name="_Toc237352492"/>
      <w:bookmarkStart w:id="58" w:name="_Toc237875597"/>
      <w:bookmarkStart w:id="59" w:name="_Toc26463"/>
      <w:bookmarkStart w:id="60" w:name="_Toc1124058719"/>
      <w:bookmarkStart w:id="61" w:name="_Toc237355812"/>
      <w:bookmarkStart w:id="62" w:name="_Toc234143806"/>
      <w:bookmarkStart w:id="63" w:name="_Toc212515438"/>
      <w:bookmarkStart w:id="64" w:name="_Toc631058350"/>
      <w:bookmarkStart w:id="65" w:name="_Toc9110"/>
      <w:bookmarkStart w:id="66" w:name="_Toc2320"/>
      <w:bookmarkStart w:id="67" w:name="_Toc236649033"/>
      <w:bookmarkStart w:id="68" w:name="_Toc19620"/>
      <w:bookmarkStart w:id="69" w:name="_Toc32589"/>
      <w:bookmarkStart w:id="70" w:name="_Toc9113"/>
      <w:bookmarkStart w:id="71" w:name="_Toc1355383478"/>
      <w:r>
        <w:rPr>
          <w:rFonts w:hint="eastAsia" w:ascii="Times New Roman" w:hAnsi="Times New Roman" w:eastAsia="楷体_GB2312"/>
        </w:rPr>
        <w:t>（一）有序支撑新时代党的治疆方略实施</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630D357E">
      <w:pPr>
        <w:spacing w:line="560" w:lineRule="exact"/>
        <w:rPr>
          <w:rFonts w:ascii="Times New Roman" w:hAnsi="Times New Roman"/>
        </w:rPr>
      </w:pPr>
      <w:r>
        <w:rPr>
          <w:rFonts w:hint="eastAsia" w:ascii="Times New Roman" w:hAnsi="Times New Roman"/>
        </w:rPr>
        <w:t>落实了亚欧黄金通道和向西开放的桥头堡的战略定位，内外联通通道体系加快形成，口岸功能有序提升，</w:t>
      </w:r>
      <w:r>
        <w:rPr>
          <w:rFonts w:ascii="Times New Roman" w:hAnsi="Times New Roman"/>
        </w:rPr>
        <w:t>平台集聚效应加速显现</w:t>
      </w:r>
      <w:r>
        <w:rPr>
          <w:rFonts w:hint="eastAsia" w:ascii="Times New Roman" w:hAnsi="Times New Roman"/>
        </w:rPr>
        <w:t>。</w:t>
      </w:r>
    </w:p>
    <w:p w14:paraId="65447534">
      <w:pPr>
        <w:spacing w:line="560" w:lineRule="exact"/>
        <w:rPr>
          <w:rFonts w:ascii="Times New Roman" w:hAnsi="Times New Roman"/>
        </w:rPr>
      </w:pPr>
      <w:r>
        <w:rPr>
          <w:rFonts w:hint="eastAsia" w:ascii="Times New Roman" w:hAnsi="Times New Roman"/>
        </w:rPr>
        <w:t>支撑了新发展格局的战略支点定位，园区体系能级稳步提升，分类布局和升级有序推进，对产业集聚、工业增长和就业吸纳支撑作用持续增强。</w:t>
      </w:r>
    </w:p>
    <w:p w14:paraId="59E1D27D">
      <w:pPr>
        <w:pStyle w:val="5"/>
        <w:numPr>
          <w:ilvl w:val="255"/>
          <w:numId w:val="0"/>
        </w:numPr>
        <w:spacing w:line="560" w:lineRule="exact"/>
        <w:ind w:left="640" w:leftChars="200"/>
        <w:rPr>
          <w:rFonts w:ascii="Times New Roman" w:hAnsi="Times New Roman" w:eastAsia="楷体_GB2312" w:cs="Times New Roman"/>
          <w:b w:val="0"/>
          <w:bCs w:val="0"/>
        </w:rPr>
      </w:pPr>
      <w:bookmarkStart w:id="72" w:name="_Toc1192783083"/>
      <w:bookmarkStart w:id="73" w:name="_Toc212515442"/>
      <w:bookmarkStart w:id="74" w:name="_Toc869400152"/>
      <w:bookmarkStart w:id="75" w:name="_Toc1374931942"/>
      <w:bookmarkStart w:id="76" w:name="_Toc1906802798"/>
      <w:bookmarkStart w:id="77" w:name="_Toc14175"/>
      <w:bookmarkStart w:id="78" w:name="_Toc21336"/>
      <w:bookmarkStart w:id="79" w:name="_Toc237352493"/>
      <w:bookmarkStart w:id="80" w:name="_Toc5992"/>
      <w:bookmarkStart w:id="81" w:name="_Toc13769"/>
      <w:bookmarkStart w:id="82" w:name="_Toc237875598"/>
      <w:bookmarkStart w:id="83" w:name="_Toc234143807"/>
      <w:bookmarkStart w:id="84" w:name="_Toc237355813"/>
      <w:bookmarkStart w:id="85" w:name="_Toc236649034"/>
      <w:bookmarkStart w:id="86" w:name="_Toc237355879"/>
      <w:bookmarkStart w:id="87" w:name="_Toc17194"/>
      <w:bookmarkStart w:id="88" w:name="_Toc19821"/>
      <w:r>
        <w:rPr>
          <w:rFonts w:hint="eastAsia" w:ascii="Times New Roman" w:hAnsi="Times New Roman" w:eastAsia="楷体_GB2312" w:cs="Times New Roman"/>
          <w:b w:val="0"/>
          <w:bCs w:val="0"/>
        </w:rPr>
        <w:t>（二）安全发展底线</w:t>
      </w:r>
      <w:bookmarkEnd w:id="72"/>
      <w:bookmarkEnd w:id="73"/>
      <w:bookmarkEnd w:id="74"/>
      <w:bookmarkEnd w:id="75"/>
      <w:bookmarkEnd w:id="76"/>
      <w:r>
        <w:rPr>
          <w:rFonts w:hint="eastAsia" w:ascii="Times New Roman" w:hAnsi="Times New Roman" w:eastAsia="楷体_GB2312" w:cs="Times New Roman"/>
          <w:b w:val="0"/>
          <w:bCs w:val="0"/>
        </w:rPr>
        <w:t>保障更加扎实</w:t>
      </w:r>
      <w:bookmarkEnd w:id="77"/>
      <w:bookmarkEnd w:id="78"/>
      <w:bookmarkEnd w:id="79"/>
      <w:bookmarkEnd w:id="80"/>
      <w:bookmarkEnd w:id="81"/>
      <w:bookmarkEnd w:id="82"/>
      <w:bookmarkEnd w:id="83"/>
      <w:bookmarkEnd w:id="84"/>
      <w:bookmarkEnd w:id="85"/>
      <w:bookmarkEnd w:id="86"/>
      <w:bookmarkEnd w:id="87"/>
      <w:bookmarkEnd w:id="88"/>
    </w:p>
    <w:p w14:paraId="104E3E79">
      <w:pPr>
        <w:spacing w:line="560" w:lineRule="exact"/>
        <w:rPr>
          <w:rFonts w:ascii="Times New Roman" w:hAnsi="Times New Roman"/>
        </w:rPr>
      </w:pPr>
      <w:r>
        <w:rPr>
          <w:rFonts w:hint="eastAsia" w:ascii="Times New Roman" w:hAnsi="Times New Roman"/>
        </w:rPr>
        <w:t>深化“三基地一通道”布局与要素保障。国家大型油气生产加工和储备基地、煤炭煤电煤化工基地及千万千瓦级新能源基地建设加快推进。</w:t>
      </w:r>
    </w:p>
    <w:p w14:paraId="3A54993F">
      <w:pPr>
        <w:spacing w:line="560" w:lineRule="exact"/>
        <w:rPr>
          <w:rFonts w:ascii="Times New Roman" w:hAnsi="Times New Roman"/>
        </w:rPr>
      </w:pPr>
      <w:r>
        <w:rPr>
          <w:rFonts w:hint="eastAsia" w:ascii="Times New Roman" w:hAnsi="Times New Roman"/>
        </w:rPr>
        <w:t>夯实优质农牧产品供给基础。耕地保护任务有力落实，设施农业规模显著扩大，推动高效稳产农业空间结构全面升级。</w:t>
      </w:r>
      <w:bookmarkStart w:id="89" w:name="_Toc212515444"/>
      <w:bookmarkStart w:id="90" w:name="_Toc26404"/>
    </w:p>
    <w:p w14:paraId="4DA8B33A">
      <w:pPr>
        <w:spacing w:line="560" w:lineRule="exact"/>
        <w:rPr>
          <w:rFonts w:ascii="Times New Roman" w:hAnsi="Times New Roman"/>
        </w:rPr>
      </w:pPr>
      <w:r>
        <w:rPr>
          <w:rFonts w:hint="eastAsia" w:ascii="Times New Roman" w:hAnsi="Times New Roman"/>
        </w:rPr>
        <w:t>深化生态空间管控与修复治理</w:t>
      </w:r>
      <w:bookmarkEnd w:id="89"/>
      <w:bookmarkEnd w:id="90"/>
      <w:r>
        <w:rPr>
          <w:rFonts w:hint="eastAsia" w:ascii="Times New Roman" w:hAnsi="Times New Roman"/>
        </w:rPr>
        <w:t>。</w:t>
      </w:r>
      <w:bookmarkStart w:id="91" w:name="_Toc209388026"/>
      <w:bookmarkStart w:id="92" w:name="_Toc209387913"/>
      <w:r>
        <w:rPr>
          <w:rFonts w:hint="eastAsia" w:ascii="Times New Roman" w:hAnsi="Times New Roman"/>
        </w:rPr>
        <w:t>生态空间格局管控持续强化，生态保护红线内自然生态系统面积和人类活动强度基本稳定。</w:t>
      </w:r>
      <w:bookmarkEnd w:id="91"/>
      <w:bookmarkEnd w:id="92"/>
    </w:p>
    <w:p w14:paraId="34DC84B8">
      <w:pPr>
        <w:spacing w:line="560" w:lineRule="exact"/>
        <w:rPr>
          <w:rFonts w:ascii="Times New Roman" w:hAnsi="Times New Roman"/>
        </w:rPr>
      </w:pPr>
      <w:r>
        <w:rPr>
          <w:rFonts w:hint="eastAsia" w:ascii="Times New Roman" w:hAnsi="Times New Roman"/>
        </w:rPr>
        <w:t>协同推进防灾治理与生态修复。风险普查成果转化应用持续推进，防灾减灾与生态保护修复统筹推进，隐患点监测覆盖范围逐步扩大。</w:t>
      </w:r>
    </w:p>
    <w:p w14:paraId="5358B244">
      <w:pPr>
        <w:pStyle w:val="5"/>
        <w:numPr>
          <w:ilvl w:val="255"/>
          <w:numId w:val="0"/>
        </w:numPr>
        <w:spacing w:line="560" w:lineRule="exact"/>
        <w:ind w:left="640" w:leftChars="200"/>
        <w:rPr>
          <w:rFonts w:ascii="Times New Roman" w:hAnsi="Times New Roman" w:eastAsia="楷体_GB2312" w:cs="Times New Roman"/>
          <w:b w:val="0"/>
          <w:bCs w:val="0"/>
        </w:rPr>
      </w:pPr>
      <w:bookmarkStart w:id="93" w:name="_Toc237355814"/>
      <w:bookmarkStart w:id="94" w:name="_Toc236649035"/>
      <w:bookmarkStart w:id="95" w:name="_Toc12859"/>
      <w:bookmarkStart w:id="96" w:name="_Toc1957827428"/>
      <w:bookmarkStart w:id="97" w:name="_Toc237352494"/>
      <w:bookmarkStart w:id="98" w:name="_Toc847115971"/>
      <w:bookmarkStart w:id="99" w:name="_Toc1019910178"/>
      <w:bookmarkStart w:id="100" w:name="_Toc11717"/>
      <w:bookmarkStart w:id="101" w:name="_Toc237355880"/>
      <w:bookmarkStart w:id="102" w:name="_Toc6778"/>
      <w:bookmarkStart w:id="103" w:name="_Toc30111"/>
      <w:bookmarkStart w:id="104" w:name="_Toc3809"/>
      <w:bookmarkStart w:id="105" w:name="_Toc237875599"/>
      <w:bookmarkStart w:id="106" w:name="_Toc234143808"/>
      <w:bookmarkStart w:id="107" w:name="_Toc1016738735"/>
      <w:bookmarkStart w:id="108" w:name="_Toc212515447"/>
      <w:bookmarkStart w:id="109" w:name="_Toc5176"/>
      <w:r>
        <w:rPr>
          <w:rFonts w:hint="eastAsia" w:ascii="Times New Roman" w:hAnsi="Times New Roman" w:eastAsia="楷体_GB2312" w:cs="Times New Roman"/>
          <w:b w:val="0"/>
          <w:bCs w:val="0"/>
        </w:rPr>
        <w:t>（三）国土空间开发保护格局持续优化</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14:paraId="4E9EFBEF">
      <w:pPr>
        <w:spacing w:line="560" w:lineRule="exact"/>
        <w:rPr>
          <w:rFonts w:ascii="Times New Roman" w:hAnsi="Times New Roman"/>
        </w:rPr>
      </w:pPr>
      <w:bookmarkStart w:id="110" w:name="_Toc16552"/>
      <w:bookmarkStart w:id="111" w:name="_Toc212515448"/>
      <w:r>
        <w:rPr>
          <w:rFonts w:hint="eastAsia" w:ascii="Times New Roman" w:hAnsi="Times New Roman"/>
        </w:rPr>
        <w:t>主体功能区政策支撑和差异化效应逐步增强</w:t>
      </w:r>
      <w:bookmarkEnd w:id="110"/>
      <w:bookmarkEnd w:id="111"/>
      <w:r>
        <w:rPr>
          <w:rFonts w:hint="eastAsia" w:ascii="Times New Roman" w:hAnsi="Times New Roman"/>
        </w:rPr>
        <w:t>。城市化地区核心承载作用显著；农产品主产区及重点生态功能区支撑地位稳固。差异化配套政策逐步落实，重点生态功能区转移支付、能源资源富集区要素保障及边境地区政策支持体系初步建立，推动主体功能区制度从战略部署迈向全面落实。</w:t>
      </w:r>
    </w:p>
    <w:p w14:paraId="2256E87B">
      <w:pPr>
        <w:spacing w:line="560" w:lineRule="exact"/>
        <w:rPr>
          <w:rFonts w:ascii="Times New Roman" w:hAnsi="Times New Roman"/>
        </w:rPr>
      </w:pPr>
      <w:r>
        <w:rPr>
          <w:rFonts w:hint="eastAsia" w:ascii="Times New Roman" w:hAnsi="Times New Roman"/>
        </w:rPr>
        <w:t>实现高质量发展的空间基础更加坚实。</w:t>
      </w:r>
      <w:r>
        <w:rPr>
          <w:rFonts w:ascii="Times New Roman" w:hAnsi="Times New Roman"/>
        </w:rPr>
        <w:t>天山北坡、天山南坡</w:t>
      </w:r>
      <w:r>
        <w:rPr>
          <w:rFonts w:hint="eastAsia" w:ascii="Times New Roman" w:hAnsi="Times New Roman"/>
        </w:rPr>
        <w:t>农牧业现代化水平持续提升，绿洲农业区域化规模效应增强，农田灌溉水有效利用系数高于全国平均水平。</w:t>
      </w:r>
      <w:r>
        <w:rPr>
          <w:rFonts w:ascii="Times New Roman" w:hAnsi="Times New Roman"/>
        </w:rPr>
        <w:t>阿尔泰山、天山、昆仑山—阿尔金山、塔里木河等</w:t>
      </w:r>
      <w:r>
        <w:rPr>
          <w:rFonts w:hint="eastAsia" w:ascii="Times New Roman" w:hAnsi="Times New Roman"/>
        </w:rPr>
        <w:t>生态安全屏障功能持续增强，荒漠化和沙化土地面积实现“双缩减”。都市圈、</w:t>
      </w:r>
      <w:r>
        <w:rPr>
          <w:rFonts w:ascii="Times New Roman" w:hAnsi="Times New Roman"/>
        </w:rPr>
        <w:t>中心城市</w:t>
      </w:r>
      <w:r>
        <w:rPr>
          <w:rFonts w:hint="eastAsia" w:ascii="Times New Roman" w:hAnsi="Times New Roman"/>
        </w:rPr>
        <w:t>引领作用不断显现，城镇化基础设施与民生保障能力显著提升。</w:t>
      </w:r>
    </w:p>
    <w:p w14:paraId="354C3977">
      <w:pPr>
        <w:pStyle w:val="5"/>
        <w:numPr>
          <w:ilvl w:val="255"/>
          <w:numId w:val="0"/>
        </w:numPr>
        <w:spacing w:line="560" w:lineRule="exact"/>
        <w:ind w:left="640" w:leftChars="200"/>
        <w:rPr>
          <w:rFonts w:ascii="Times New Roman" w:hAnsi="Times New Roman" w:eastAsia="楷体_GB2312" w:cs="Times New Roman"/>
          <w:b w:val="0"/>
          <w:bCs w:val="0"/>
        </w:rPr>
      </w:pPr>
      <w:bookmarkStart w:id="112" w:name="_Toc212515450"/>
      <w:bookmarkStart w:id="113" w:name="_Toc1974040367"/>
      <w:bookmarkStart w:id="114" w:name="_Toc381198554"/>
      <w:bookmarkStart w:id="115" w:name="_Toc236649036"/>
      <w:bookmarkStart w:id="116" w:name="_Toc991804879"/>
      <w:bookmarkStart w:id="117" w:name="_Toc237352495"/>
      <w:bookmarkStart w:id="118" w:name="_Toc763015041"/>
      <w:bookmarkStart w:id="119" w:name="_Toc2373"/>
      <w:bookmarkStart w:id="120" w:name="_Toc237355815"/>
      <w:bookmarkStart w:id="121" w:name="_Toc234143809"/>
      <w:bookmarkStart w:id="122" w:name="_Toc237355881"/>
      <w:bookmarkStart w:id="123" w:name="_Toc237875600"/>
      <w:bookmarkStart w:id="124" w:name="_Toc3844"/>
      <w:bookmarkStart w:id="125" w:name="_Toc14756"/>
      <w:bookmarkStart w:id="126" w:name="_Toc32029"/>
      <w:bookmarkStart w:id="127" w:name="_Toc13283"/>
      <w:bookmarkStart w:id="128" w:name="_Toc9457"/>
      <w:r>
        <w:rPr>
          <w:rFonts w:hint="eastAsia" w:ascii="Times New Roman" w:hAnsi="Times New Roman" w:eastAsia="楷体_GB2312" w:cs="Times New Roman"/>
          <w:b w:val="0"/>
          <w:bCs w:val="0"/>
        </w:rPr>
        <w:t>（四）中华民族共同体</w:t>
      </w:r>
      <w:bookmarkEnd w:id="112"/>
      <w:bookmarkEnd w:id="113"/>
      <w:bookmarkEnd w:id="114"/>
      <w:bookmarkEnd w:id="115"/>
      <w:bookmarkEnd w:id="116"/>
      <w:bookmarkEnd w:id="117"/>
      <w:bookmarkEnd w:id="118"/>
      <w:bookmarkEnd w:id="119"/>
      <w:bookmarkEnd w:id="120"/>
      <w:bookmarkEnd w:id="121"/>
      <w:bookmarkEnd w:id="122"/>
      <w:r>
        <w:rPr>
          <w:rFonts w:hint="eastAsia" w:ascii="Times New Roman" w:hAnsi="Times New Roman" w:eastAsia="楷体_GB2312" w:cs="Times New Roman"/>
          <w:b w:val="0"/>
          <w:bCs w:val="0"/>
        </w:rPr>
        <w:t>意识的空间基础</w:t>
      </w:r>
      <w:bookmarkEnd w:id="123"/>
      <w:bookmarkEnd w:id="124"/>
      <w:bookmarkEnd w:id="125"/>
      <w:bookmarkEnd w:id="126"/>
      <w:bookmarkEnd w:id="127"/>
      <w:bookmarkEnd w:id="128"/>
      <w:r>
        <w:rPr>
          <w:rFonts w:hint="eastAsia" w:ascii="Times New Roman" w:hAnsi="Times New Roman" w:eastAsia="楷体_GB2312" w:cs="Times New Roman"/>
          <w:b w:val="0"/>
          <w:bCs w:val="0"/>
        </w:rPr>
        <w:t>不断夯实</w:t>
      </w:r>
    </w:p>
    <w:p w14:paraId="73A9DB79">
      <w:pPr>
        <w:spacing w:line="560" w:lineRule="exact"/>
        <w:rPr>
          <w:rFonts w:ascii="Times New Roman" w:hAnsi="Times New Roman"/>
        </w:rPr>
      </w:pPr>
      <w:bookmarkStart w:id="129" w:name="_Toc5188"/>
      <w:bookmarkStart w:id="130" w:name="_Toc212515451"/>
      <w:r>
        <w:rPr>
          <w:rFonts w:hint="eastAsia" w:ascii="Times New Roman" w:hAnsi="Times New Roman"/>
        </w:rPr>
        <w:t>文化润疆、旅游兴疆战略深入落实</w:t>
      </w:r>
      <w:bookmarkEnd w:id="129"/>
      <w:bookmarkEnd w:id="130"/>
      <w:bookmarkStart w:id="131" w:name="_Toc212515453"/>
      <w:bookmarkStart w:id="132" w:name="_Toc31372"/>
      <w:r>
        <w:rPr>
          <w:rFonts w:hint="eastAsia" w:ascii="Times New Roman" w:hAnsi="Times New Roman"/>
        </w:rPr>
        <w:t>。</w:t>
      </w:r>
      <w:r>
        <w:rPr>
          <w:rFonts w:ascii="Times New Roman" w:hAnsi="Times New Roman"/>
        </w:rPr>
        <w:t>高效推动“快进慢游”交通网络与旅游产业结合，历史文化与旅游产业深度融合，</w:t>
      </w:r>
      <w:r>
        <w:rPr>
          <w:rFonts w:hint="eastAsia" w:ascii="Times New Roman" w:hAnsi="Times New Roman"/>
        </w:rPr>
        <w:t>空间承载作用持续增强</w:t>
      </w:r>
      <w:r>
        <w:rPr>
          <w:rFonts w:ascii="Times New Roman" w:hAnsi="Times New Roman"/>
        </w:rPr>
        <w:t>。</w:t>
      </w:r>
      <w:r>
        <w:rPr>
          <w:rFonts w:hint="eastAsia" w:ascii="Times New Roman" w:hAnsi="Times New Roman"/>
        </w:rPr>
        <w:t>文旅用地供地方式不断创新，审查报批效率持续改善。各地不断探索规划统筹、分类管理的创新路径，</w:t>
      </w:r>
      <w:r>
        <w:rPr>
          <w:rFonts w:ascii="Times New Roman" w:hAnsi="Times New Roman"/>
        </w:rPr>
        <w:t>历史文化资源富集区的旅游用地保障机制逐步建立。</w:t>
      </w:r>
      <w:bookmarkEnd w:id="131"/>
      <w:bookmarkEnd w:id="132"/>
      <w:bookmarkStart w:id="133" w:name="_Toc212515452"/>
      <w:bookmarkStart w:id="134" w:name="_Toc18612"/>
    </w:p>
    <w:bookmarkEnd w:id="133"/>
    <w:bookmarkEnd w:id="134"/>
    <w:p w14:paraId="41B52778">
      <w:pPr>
        <w:pStyle w:val="5"/>
        <w:numPr>
          <w:ilvl w:val="255"/>
          <w:numId w:val="0"/>
        </w:numPr>
        <w:spacing w:line="560" w:lineRule="exact"/>
        <w:ind w:left="640" w:leftChars="200"/>
        <w:rPr>
          <w:rFonts w:ascii="Times New Roman" w:hAnsi="Times New Roman" w:eastAsia="楷体_GB2312" w:cs="Times New Roman"/>
          <w:b w:val="0"/>
          <w:bCs w:val="0"/>
        </w:rPr>
      </w:pPr>
      <w:bookmarkStart w:id="135" w:name="_Toc13431"/>
      <w:bookmarkStart w:id="136" w:name="_Toc237355816"/>
      <w:bookmarkStart w:id="137" w:name="_Toc12646"/>
      <w:bookmarkStart w:id="138" w:name="_Toc236649037"/>
      <w:bookmarkStart w:id="139" w:name="_Toc237355882"/>
      <w:bookmarkStart w:id="140" w:name="_Toc8790"/>
      <w:bookmarkStart w:id="141" w:name="_Toc28075"/>
      <w:bookmarkStart w:id="142" w:name="_Toc234143810"/>
      <w:bookmarkStart w:id="143" w:name="_Toc237875601"/>
      <w:bookmarkStart w:id="144" w:name="_Toc9918"/>
      <w:bookmarkStart w:id="145" w:name="_Toc237352496"/>
      <w:r>
        <w:rPr>
          <w:rFonts w:hint="eastAsia" w:ascii="Times New Roman" w:hAnsi="Times New Roman" w:eastAsia="楷体_GB2312" w:cs="Times New Roman"/>
          <w:b w:val="0"/>
          <w:bCs w:val="0"/>
        </w:rPr>
        <w:t>（五）空间治理体系逐步完善</w:t>
      </w:r>
      <w:bookmarkEnd w:id="135"/>
      <w:bookmarkEnd w:id="136"/>
      <w:bookmarkEnd w:id="137"/>
      <w:bookmarkEnd w:id="138"/>
      <w:bookmarkEnd w:id="139"/>
      <w:bookmarkEnd w:id="140"/>
      <w:bookmarkEnd w:id="141"/>
      <w:bookmarkEnd w:id="142"/>
      <w:bookmarkEnd w:id="143"/>
      <w:bookmarkEnd w:id="144"/>
      <w:bookmarkEnd w:id="145"/>
    </w:p>
    <w:p w14:paraId="15DF945E">
      <w:pPr>
        <w:spacing w:line="560" w:lineRule="exact"/>
        <w:rPr>
          <w:rFonts w:ascii="Times New Roman" w:hAnsi="Times New Roman"/>
        </w:rPr>
      </w:pPr>
      <w:bookmarkStart w:id="146" w:name="_Toc31609"/>
      <w:bookmarkStart w:id="147" w:name="_Toc212515455"/>
      <w:r>
        <w:rPr>
          <w:rFonts w:hint="eastAsia" w:ascii="Times New Roman" w:hAnsi="Times New Roman"/>
        </w:rPr>
        <w:t>国土空间规划体系基本建立，规划传导协同建设有序推进。</w:t>
      </w:r>
      <w:r>
        <w:rPr>
          <w:rFonts w:ascii="Times New Roman" w:hAnsi="Times New Roman"/>
        </w:rPr>
        <w:t>自治区、地（州、市）和县（市）总体规划相继批复</w:t>
      </w:r>
      <w:bookmarkEnd w:id="146"/>
      <w:bookmarkEnd w:id="147"/>
      <w:bookmarkStart w:id="148" w:name="_Toc26887"/>
      <w:bookmarkStart w:id="149" w:name="_Toc212515456"/>
      <w:r>
        <w:rPr>
          <w:rFonts w:ascii="Times New Roman" w:hAnsi="Times New Roman"/>
        </w:rPr>
        <w:t>。</w:t>
      </w:r>
      <w:r>
        <w:rPr>
          <w:rFonts w:hint="eastAsia" w:ascii="Times New Roman" w:hAnsi="Times New Roman"/>
        </w:rPr>
        <w:t>国土空间基础信息平台建成运行，自然资源管理和国土空间规划“一张图”建设持续推进</w:t>
      </w:r>
      <w:r>
        <w:rPr>
          <w:rFonts w:ascii="Times New Roman" w:hAnsi="Times New Roman"/>
        </w:rPr>
        <w:t>，支撑规划编制、成果审查和实施监管全流程。</w:t>
      </w:r>
      <w:bookmarkEnd w:id="148"/>
      <w:bookmarkEnd w:id="149"/>
      <w:bookmarkStart w:id="150" w:name="_Toc212515457"/>
      <w:bookmarkStart w:id="151" w:name="_Toc13819"/>
      <w:r>
        <w:rPr>
          <w:rFonts w:hint="eastAsia" w:ascii="Times New Roman" w:hAnsi="Times New Roman"/>
        </w:rPr>
        <w:t>政策机制加快完善，要素保障与审批提效同步推进</w:t>
      </w:r>
      <w:bookmarkEnd w:id="150"/>
      <w:bookmarkEnd w:id="151"/>
      <w:r>
        <w:rPr>
          <w:rFonts w:hint="eastAsia" w:ascii="Times New Roman" w:hAnsi="Times New Roman"/>
        </w:rPr>
        <w:t>。</w:t>
      </w:r>
      <w:r>
        <w:rPr>
          <w:rFonts w:ascii="Times New Roman" w:hAnsi="Times New Roman"/>
        </w:rPr>
        <w:t>规划编制、审批、实施监督有关技术标准体系建设</w:t>
      </w:r>
      <w:r>
        <w:rPr>
          <w:rFonts w:hint="eastAsia" w:ascii="Times New Roman" w:hAnsi="Times New Roman"/>
        </w:rPr>
        <w:t>不断完善</w:t>
      </w:r>
      <w:r>
        <w:rPr>
          <w:rFonts w:ascii="Times New Roman" w:hAnsi="Times New Roman"/>
        </w:rPr>
        <w:t>。</w:t>
      </w:r>
    </w:p>
    <w:p w14:paraId="2C7AFCE5">
      <w:pPr>
        <w:pStyle w:val="4"/>
        <w:numPr>
          <w:ilvl w:val="255"/>
          <w:numId w:val="0"/>
        </w:numPr>
        <w:ind w:left="640" w:leftChars="200"/>
        <w:rPr>
          <w:rFonts w:ascii="Times New Roman" w:hAnsi="Times New Roman" w:cs="Times New Roman"/>
          <w:sz w:val="32"/>
          <w:szCs w:val="32"/>
        </w:rPr>
      </w:pPr>
      <w:bookmarkStart w:id="152" w:name="_Toc13615"/>
      <w:bookmarkStart w:id="153" w:name="_Toc26072"/>
      <w:bookmarkStart w:id="154" w:name="_Toc10240"/>
      <w:bookmarkStart w:id="155" w:name="_Toc237355883"/>
      <w:bookmarkStart w:id="156" w:name="_Toc18485"/>
      <w:bookmarkStart w:id="157" w:name="_Toc24457"/>
      <w:bookmarkStart w:id="158" w:name="_Toc237875602"/>
      <w:r>
        <w:rPr>
          <w:rFonts w:ascii="Times New Roman" w:hAnsi="Times New Roman" w:cs="Times New Roman"/>
          <w:sz w:val="32"/>
          <w:szCs w:val="32"/>
        </w:rPr>
        <w:t>二、</w:t>
      </w:r>
      <w:bookmarkEnd w:id="152"/>
      <w:bookmarkEnd w:id="153"/>
      <w:bookmarkEnd w:id="154"/>
      <w:bookmarkEnd w:id="155"/>
      <w:bookmarkEnd w:id="156"/>
      <w:bookmarkEnd w:id="157"/>
      <w:r>
        <w:rPr>
          <w:rFonts w:ascii="Times New Roman" w:hAnsi="Times New Roman" w:cs="Times New Roman"/>
          <w:sz w:val="32"/>
          <w:szCs w:val="32"/>
        </w:rPr>
        <w:t>存在问题和评估建议</w:t>
      </w:r>
      <w:bookmarkEnd w:id="158"/>
    </w:p>
    <w:p w14:paraId="5443A5A1">
      <w:pPr>
        <w:spacing w:line="560" w:lineRule="exact"/>
        <w:rPr>
          <w:rFonts w:ascii="Times New Roman" w:hAnsi="Times New Roman"/>
        </w:rPr>
      </w:pPr>
      <w:r>
        <w:rPr>
          <w:rFonts w:hint="eastAsia" w:ascii="Times New Roman" w:hAnsi="Times New Roman"/>
        </w:rPr>
        <w:t>根据实施评估情况，《规划》实施以来，自治区国土空间开发保护格局总体稳定，各项管控要求和重点任务有序推进。随着“十五五”发展规划实施，部分目标指标、控制线管理、空间组织和重大项目保障等方面出现新的衔接需求，需通过动态维护及时完善相关规划内容，进一步提升《</w:t>
      </w:r>
      <w:r>
        <w:rPr>
          <w:rFonts w:ascii="Times New Roman" w:hAnsi="Times New Roman"/>
        </w:rPr>
        <w:t>规划</w:t>
      </w:r>
      <w:r>
        <w:rPr>
          <w:rFonts w:hint="eastAsia" w:ascii="Times New Roman" w:hAnsi="Times New Roman"/>
        </w:rPr>
        <w:t>》的空间保障能力。</w:t>
      </w:r>
    </w:p>
    <w:p w14:paraId="2A7B4EBD">
      <w:pPr>
        <w:widowControl/>
        <w:spacing w:line="560" w:lineRule="exact"/>
        <w:rPr>
          <w:rFonts w:ascii="Times New Roman" w:hAnsi="Times New Roman"/>
        </w:rPr>
      </w:pPr>
      <w:r>
        <w:rPr>
          <w:rFonts w:ascii="Times New Roman" w:hAnsi="Times New Roman"/>
        </w:rPr>
        <w:br w:type="page"/>
      </w:r>
    </w:p>
    <w:p w14:paraId="5FF33CA3">
      <w:pPr>
        <w:pStyle w:val="2"/>
        <w:spacing w:beforeAutospacing="0" w:afterAutospacing="0"/>
        <w:ind w:firstLine="803" w:firstLineChars="200"/>
        <w:rPr>
          <w:rFonts w:ascii="Times New Roman" w:hAnsi="Times New Roman" w:cs="Times New Roman"/>
          <w:color w:val="auto"/>
        </w:rPr>
      </w:pPr>
      <w:bookmarkStart w:id="159" w:name="_Toc11502"/>
      <w:bookmarkStart w:id="160" w:name="_Toc30568"/>
      <w:bookmarkStart w:id="161" w:name="_Toc24084"/>
      <w:bookmarkStart w:id="162" w:name="_Toc237875603"/>
      <w:bookmarkStart w:id="163" w:name="_Toc13116"/>
      <w:bookmarkStart w:id="164" w:name="_Toc6104"/>
      <w:bookmarkStart w:id="165" w:name="_Toc237355888"/>
      <w:r>
        <w:rPr>
          <w:rFonts w:hint="eastAsia" w:ascii="Times New Roman" w:hAnsi="Times New Roman" w:cs="Times New Roman"/>
          <w:color w:val="auto"/>
        </w:rPr>
        <w:t xml:space="preserve"> </w:t>
      </w:r>
      <w:r>
        <w:rPr>
          <w:rFonts w:ascii="Times New Roman" w:hAnsi="Times New Roman" w:cs="Times New Roman"/>
          <w:color w:val="auto"/>
        </w:rPr>
        <w:t>动态维护方案</w:t>
      </w:r>
      <w:bookmarkEnd w:id="159"/>
      <w:bookmarkEnd w:id="160"/>
      <w:bookmarkEnd w:id="161"/>
      <w:bookmarkEnd w:id="162"/>
      <w:bookmarkEnd w:id="163"/>
      <w:bookmarkEnd w:id="164"/>
      <w:bookmarkEnd w:id="165"/>
    </w:p>
    <w:p w14:paraId="260B3498">
      <w:pPr>
        <w:numPr>
          <w:ilvl w:val="255"/>
          <w:numId w:val="0"/>
        </w:numPr>
        <w:rPr>
          <w:rFonts w:ascii="Times New Roman" w:hAnsi="Times New Roman"/>
        </w:rPr>
      </w:pPr>
      <w:bookmarkStart w:id="166" w:name="_Toc237355889"/>
      <w:bookmarkStart w:id="167" w:name="_Toc5406"/>
    </w:p>
    <w:p w14:paraId="089B9696">
      <w:pPr>
        <w:pStyle w:val="4"/>
        <w:numPr>
          <w:ilvl w:val="255"/>
          <w:numId w:val="0"/>
        </w:numPr>
        <w:ind w:firstLine="640"/>
        <w:rPr>
          <w:rFonts w:ascii="Times New Roman" w:hAnsi="Times New Roman" w:cs="Times New Roman"/>
          <w:sz w:val="32"/>
          <w:szCs w:val="32"/>
        </w:rPr>
      </w:pPr>
      <w:bookmarkStart w:id="168" w:name="_Toc18129"/>
      <w:bookmarkStart w:id="169" w:name="_Toc9480"/>
      <w:bookmarkStart w:id="170" w:name="_Toc237875604"/>
      <w:bookmarkStart w:id="171" w:name="_Toc31456"/>
      <w:bookmarkStart w:id="172" w:name="_Toc17954"/>
      <w:r>
        <w:rPr>
          <w:rFonts w:ascii="Times New Roman" w:hAnsi="Times New Roman" w:cs="Times New Roman"/>
          <w:sz w:val="32"/>
          <w:szCs w:val="32"/>
        </w:rPr>
        <w:t>一、空间管控边界维护</w:t>
      </w:r>
      <w:bookmarkEnd w:id="166"/>
      <w:bookmarkEnd w:id="168"/>
      <w:bookmarkEnd w:id="169"/>
      <w:bookmarkEnd w:id="170"/>
      <w:bookmarkEnd w:id="171"/>
      <w:bookmarkEnd w:id="172"/>
    </w:p>
    <w:p w14:paraId="66F71411">
      <w:pPr>
        <w:pStyle w:val="5"/>
        <w:numPr>
          <w:ilvl w:val="255"/>
          <w:numId w:val="0"/>
        </w:numPr>
        <w:spacing w:line="560" w:lineRule="exact"/>
        <w:ind w:firstLine="640" w:firstLineChars="200"/>
        <w:rPr>
          <w:rFonts w:ascii="Times New Roman" w:hAnsi="Times New Roman" w:eastAsia="楷体_GB2312" w:cs="Times New Roman"/>
          <w:b w:val="0"/>
          <w:bCs w:val="0"/>
        </w:rPr>
      </w:pPr>
      <w:bookmarkStart w:id="173" w:name="_Toc234143827"/>
      <w:bookmarkStart w:id="174" w:name="_Toc237352504"/>
      <w:bookmarkStart w:id="175" w:name="_Toc237875605"/>
      <w:bookmarkStart w:id="176" w:name="_Toc24780"/>
      <w:bookmarkStart w:id="177" w:name="_Toc237355824"/>
      <w:bookmarkStart w:id="178" w:name="_Toc236649045"/>
      <w:bookmarkStart w:id="179" w:name="_Toc21562"/>
      <w:bookmarkStart w:id="180" w:name="_Toc237355890"/>
      <w:bookmarkStart w:id="181" w:name="_Toc24397"/>
      <w:bookmarkStart w:id="182" w:name="_Toc32672"/>
      <w:bookmarkStart w:id="183" w:name="_Toc31663"/>
      <w:r>
        <w:rPr>
          <w:rFonts w:ascii="Times New Roman" w:hAnsi="Times New Roman" w:eastAsia="楷体_GB2312" w:cs="Times New Roman"/>
          <w:b w:val="0"/>
          <w:bCs w:val="0"/>
        </w:rPr>
        <w:t>（一）耕地和永久基本农田</w:t>
      </w:r>
      <w:bookmarkEnd w:id="173"/>
      <w:bookmarkEnd w:id="174"/>
      <w:bookmarkEnd w:id="175"/>
      <w:bookmarkEnd w:id="176"/>
      <w:bookmarkEnd w:id="177"/>
      <w:bookmarkEnd w:id="178"/>
      <w:bookmarkEnd w:id="179"/>
      <w:bookmarkEnd w:id="180"/>
      <w:bookmarkEnd w:id="181"/>
      <w:bookmarkEnd w:id="182"/>
      <w:bookmarkEnd w:id="183"/>
    </w:p>
    <w:p w14:paraId="63241A4E">
      <w:pPr>
        <w:spacing w:line="560" w:lineRule="exact"/>
        <w:rPr>
          <w:rFonts w:ascii="Times New Roman" w:hAnsi="Times New Roman"/>
        </w:rPr>
      </w:pPr>
      <w:r>
        <w:rPr>
          <w:rFonts w:ascii="Times New Roman" w:hAnsi="Times New Roman"/>
        </w:rPr>
        <w:t>本次动态维护不对各地（州、市）耕地保有量目标和永久基本农田保护任务作调整。</w:t>
      </w:r>
    </w:p>
    <w:p w14:paraId="324227A4">
      <w:pPr>
        <w:pStyle w:val="5"/>
        <w:numPr>
          <w:ilvl w:val="255"/>
          <w:numId w:val="0"/>
        </w:numPr>
        <w:spacing w:line="560" w:lineRule="exact"/>
        <w:ind w:firstLine="640" w:firstLineChars="200"/>
        <w:rPr>
          <w:rFonts w:ascii="Times New Roman" w:hAnsi="Times New Roman" w:eastAsia="楷体_GB2312" w:cs="Times New Roman"/>
          <w:b w:val="0"/>
          <w:bCs w:val="0"/>
        </w:rPr>
      </w:pPr>
      <w:bookmarkStart w:id="184" w:name="_Toc237875606"/>
      <w:bookmarkStart w:id="185" w:name="_Toc234143828"/>
      <w:bookmarkStart w:id="186" w:name="_Toc21725"/>
      <w:bookmarkStart w:id="187" w:name="_Toc21367"/>
      <w:bookmarkStart w:id="188" w:name="_Toc236649046"/>
      <w:bookmarkStart w:id="189" w:name="_Toc10503"/>
      <w:bookmarkStart w:id="190" w:name="_Toc19845"/>
      <w:bookmarkStart w:id="191" w:name="_Toc237352505"/>
      <w:bookmarkStart w:id="192" w:name="_Toc237355825"/>
      <w:bookmarkStart w:id="193" w:name="_Toc237355891"/>
      <w:bookmarkStart w:id="194" w:name="_Toc23576"/>
      <w:r>
        <w:rPr>
          <w:rFonts w:ascii="Times New Roman" w:hAnsi="Times New Roman" w:eastAsia="楷体_GB2312" w:cs="Times New Roman"/>
          <w:b w:val="0"/>
          <w:bCs w:val="0"/>
        </w:rPr>
        <w:t>（二）生态保护红线</w:t>
      </w:r>
      <w:bookmarkEnd w:id="184"/>
      <w:bookmarkEnd w:id="185"/>
      <w:bookmarkEnd w:id="186"/>
      <w:bookmarkEnd w:id="187"/>
      <w:bookmarkEnd w:id="188"/>
      <w:bookmarkEnd w:id="189"/>
      <w:bookmarkEnd w:id="190"/>
      <w:bookmarkEnd w:id="191"/>
      <w:bookmarkEnd w:id="192"/>
      <w:bookmarkEnd w:id="193"/>
      <w:bookmarkEnd w:id="194"/>
    </w:p>
    <w:p w14:paraId="26F2A363">
      <w:pPr>
        <w:spacing w:line="560" w:lineRule="exact"/>
        <w:rPr>
          <w:rFonts w:ascii="Times New Roman" w:hAnsi="Times New Roman"/>
        </w:rPr>
      </w:pPr>
      <w:r>
        <w:rPr>
          <w:rFonts w:ascii="Times New Roman" w:hAnsi="Times New Roman"/>
        </w:rPr>
        <w:t>本次动态维护不对各地（州、市）生态保护红线</w:t>
      </w:r>
      <w:r>
        <w:rPr>
          <w:rFonts w:hint="eastAsia" w:ascii="Times New Roman" w:hAnsi="Times New Roman"/>
        </w:rPr>
        <w:t>任务作调整</w:t>
      </w:r>
      <w:r>
        <w:rPr>
          <w:rFonts w:ascii="Times New Roman" w:hAnsi="Times New Roman"/>
        </w:rPr>
        <w:t>。</w:t>
      </w:r>
    </w:p>
    <w:p w14:paraId="6CAC9B44">
      <w:pPr>
        <w:pStyle w:val="5"/>
        <w:numPr>
          <w:ilvl w:val="255"/>
          <w:numId w:val="0"/>
        </w:numPr>
        <w:spacing w:line="560" w:lineRule="exact"/>
        <w:ind w:firstLine="640" w:firstLineChars="200"/>
        <w:rPr>
          <w:rFonts w:ascii="Times New Roman" w:hAnsi="Times New Roman" w:eastAsia="楷体_GB2312" w:cs="Times New Roman"/>
          <w:b w:val="0"/>
          <w:bCs w:val="0"/>
        </w:rPr>
      </w:pPr>
      <w:bookmarkStart w:id="195" w:name="_Toc234143829"/>
      <w:bookmarkStart w:id="196" w:name="_Toc237355892"/>
      <w:bookmarkStart w:id="197" w:name="_Toc236649047"/>
      <w:bookmarkStart w:id="198" w:name="_Toc12697"/>
      <w:bookmarkStart w:id="199" w:name="_Toc32250"/>
      <w:bookmarkStart w:id="200" w:name="_Toc9436"/>
      <w:bookmarkStart w:id="201" w:name="_Toc12422"/>
      <w:bookmarkStart w:id="202" w:name="_Toc237352506"/>
      <w:bookmarkStart w:id="203" w:name="_Toc237875607"/>
      <w:bookmarkStart w:id="204" w:name="_Toc22978"/>
      <w:bookmarkStart w:id="205" w:name="_Toc237355826"/>
      <w:r>
        <w:rPr>
          <w:rFonts w:ascii="Times New Roman" w:hAnsi="Times New Roman" w:eastAsia="楷体_GB2312" w:cs="Times New Roman"/>
          <w:b w:val="0"/>
          <w:bCs w:val="0"/>
        </w:rPr>
        <w:t>（三）城镇开发边界</w:t>
      </w:r>
      <w:bookmarkEnd w:id="195"/>
      <w:bookmarkEnd w:id="196"/>
      <w:bookmarkEnd w:id="197"/>
      <w:bookmarkEnd w:id="198"/>
      <w:bookmarkEnd w:id="199"/>
      <w:bookmarkEnd w:id="200"/>
      <w:bookmarkEnd w:id="201"/>
      <w:bookmarkEnd w:id="202"/>
      <w:bookmarkEnd w:id="203"/>
      <w:bookmarkEnd w:id="204"/>
      <w:bookmarkEnd w:id="205"/>
    </w:p>
    <w:p w14:paraId="47A4CDB0">
      <w:pPr>
        <w:spacing w:line="560" w:lineRule="exact"/>
        <w:rPr>
          <w:rFonts w:ascii="Times New Roman" w:hAnsi="Times New Roman"/>
        </w:rPr>
      </w:pPr>
      <w:r>
        <w:rPr>
          <w:rFonts w:hint="eastAsia" w:ascii="Times New Roman" w:hAnsi="Times New Roman"/>
        </w:rPr>
        <w:t>本次动态维护不对城镇开发边界扩展倍数作调整。落实《城镇开发边界管理办法（试行）》（自然资规</w:t>
      </w:r>
      <w:r>
        <w:rPr>
          <w:rFonts w:ascii="Times New Roman" w:hAnsi="Times New Roman" w:eastAsia="仿宋"/>
        </w:rPr>
        <w:t>〔</w:t>
      </w:r>
      <w:r>
        <w:rPr>
          <w:rFonts w:hint="eastAsia" w:ascii="Times New Roman" w:hAnsi="Times New Roman"/>
        </w:rPr>
        <w:t>2026</w:t>
      </w:r>
      <w:r>
        <w:rPr>
          <w:rFonts w:ascii="Times New Roman" w:hAnsi="Times New Roman" w:eastAsia="仿宋"/>
        </w:rPr>
        <w:t>〕</w:t>
      </w:r>
      <w:r>
        <w:rPr>
          <w:rFonts w:hint="eastAsia" w:ascii="Times New Roman" w:hAnsi="Times New Roman"/>
        </w:rPr>
        <w:t>1号）要求，开展全区统筹工作。</w:t>
      </w:r>
    </w:p>
    <w:bookmarkEnd w:id="167"/>
    <w:p w14:paraId="7F953D71">
      <w:pPr>
        <w:numPr>
          <w:ilvl w:val="255"/>
          <w:numId w:val="0"/>
        </w:numPr>
        <w:ind w:firstLine="640"/>
        <w:rPr>
          <w:rFonts w:ascii="黑体" w:hAnsi="黑体" w:cs="黑体"/>
        </w:rPr>
      </w:pPr>
      <w:bookmarkStart w:id="206" w:name="_Toc28757"/>
      <w:bookmarkStart w:id="207" w:name="_Toc237875609"/>
      <w:bookmarkStart w:id="208" w:name="_Toc31016"/>
      <w:bookmarkStart w:id="209" w:name="_Toc19076"/>
      <w:bookmarkStart w:id="210" w:name="_Toc2171"/>
      <w:bookmarkStart w:id="211" w:name="_Toc237355894"/>
      <w:bookmarkStart w:id="212" w:name="_Toc12203"/>
      <w:r>
        <w:rPr>
          <w:rFonts w:hint="eastAsia" w:ascii="黑体" w:hAnsi="黑体" w:eastAsia="黑体" w:cs="黑体"/>
        </w:rPr>
        <w:t>二、重点建设项目清单维护</w:t>
      </w:r>
      <w:bookmarkEnd w:id="206"/>
      <w:bookmarkEnd w:id="207"/>
      <w:bookmarkEnd w:id="208"/>
      <w:bookmarkEnd w:id="209"/>
      <w:bookmarkEnd w:id="210"/>
      <w:bookmarkEnd w:id="211"/>
      <w:bookmarkEnd w:id="212"/>
    </w:p>
    <w:p w14:paraId="45B2AF52">
      <w:pPr>
        <w:spacing w:line="560" w:lineRule="exact"/>
        <w:rPr>
          <w:rFonts w:ascii="Times New Roman" w:hAnsi="Times New Roman"/>
        </w:rPr>
      </w:pPr>
      <w:r>
        <w:rPr>
          <w:rFonts w:hint="eastAsia" w:ascii="Times New Roman" w:hAnsi="Times New Roman"/>
        </w:rPr>
        <w:t>本次重点建设项目清单维护，衔接国家和自治区“十五五”发展规划及相关专项规划确定的重大任务和重大工程，结合自治区有关行业主管部门补充报送的项目需求，增补交通类、水利类、能源类、防灾减灾类等项目。</w:t>
      </w:r>
    </w:p>
    <w:p w14:paraId="36CE3CED">
      <w:pPr>
        <w:widowControl/>
        <w:spacing w:line="560" w:lineRule="exact"/>
        <w:rPr>
          <w:rFonts w:ascii="Times New Roman" w:hAnsi="Times New Roman"/>
        </w:rPr>
      </w:pPr>
      <w:r>
        <w:rPr>
          <w:rFonts w:ascii="Times New Roman" w:hAnsi="Times New Roman"/>
        </w:rPr>
        <w:br w:type="page"/>
      </w:r>
    </w:p>
    <w:p w14:paraId="224165EB">
      <w:pPr>
        <w:pStyle w:val="2"/>
        <w:spacing w:beforeAutospacing="0" w:afterAutospacing="0"/>
        <w:rPr>
          <w:rFonts w:ascii="Times New Roman" w:hAnsi="Times New Roman" w:cs="Times New Roman"/>
          <w:color w:val="auto"/>
        </w:rPr>
      </w:pPr>
      <w:bookmarkStart w:id="213" w:name="_Toc237875610"/>
      <w:bookmarkStart w:id="214" w:name="_Toc3048"/>
      <w:bookmarkStart w:id="215" w:name="_Toc12751"/>
      <w:bookmarkStart w:id="216" w:name="_Toc237355895"/>
      <w:bookmarkStart w:id="217" w:name="_Toc8952"/>
      <w:bookmarkStart w:id="218" w:name="_Toc21192"/>
      <w:bookmarkStart w:id="219" w:name="_Toc28627"/>
      <w:r>
        <w:rPr>
          <w:rFonts w:hint="eastAsia" w:ascii="Times New Roman" w:hAnsi="Times New Roman" w:cs="Times New Roman"/>
          <w:color w:val="auto"/>
        </w:rPr>
        <w:t xml:space="preserve"> </w:t>
      </w:r>
      <w:r>
        <w:rPr>
          <w:rFonts w:ascii="Times New Roman" w:hAnsi="Times New Roman" w:cs="Times New Roman"/>
          <w:color w:val="auto"/>
        </w:rPr>
        <w:t>动态维护方案可行性分析</w:t>
      </w:r>
      <w:bookmarkEnd w:id="213"/>
      <w:bookmarkEnd w:id="214"/>
      <w:bookmarkEnd w:id="215"/>
      <w:bookmarkEnd w:id="216"/>
      <w:bookmarkEnd w:id="217"/>
      <w:bookmarkEnd w:id="218"/>
      <w:bookmarkEnd w:id="219"/>
    </w:p>
    <w:p w14:paraId="197B8230">
      <w:pPr>
        <w:spacing w:line="560" w:lineRule="exact"/>
        <w:rPr>
          <w:rFonts w:ascii="Times New Roman" w:hAnsi="Times New Roman"/>
        </w:rPr>
      </w:pPr>
    </w:p>
    <w:p w14:paraId="2A045AA2">
      <w:pPr>
        <w:spacing w:line="560" w:lineRule="exact"/>
        <w:rPr>
          <w:rFonts w:ascii="Times New Roman" w:hAnsi="Times New Roman"/>
        </w:rPr>
      </w:pPr>
      <w:r>
        <w:rPr>
          <w:rFonts w:ascii="Times New Roman" w:hAnsi="Times New Roman"/>
        </w:rPr>
        <w:t>根据</w:t>
      </w:r>
      <w:r>
        <w:rPr>
          <w:rFonts w:hint="eastAsia" w:ascii="Times New Roman" w:hAnsi="Times New Roman"/>
        </w:rPr>
        <w:t>自然资源部要求，</w:t>
      </w:r>
      <w:r>
        <w:rPr>
          <w:rFonts w:ascii="Times New Roman" w:hAnsi="Times New Roman"/>
        </w:rPr>
        <w:t>本次动态维护围绕空间管控边界、重点建设项目清单等内容开展，未突破原规划确定的目标任务，未改变国土空间开发保护总体格局，属于对规划实施中新情况、新需求的适应性完善。各项维护内容符合动态维护适用情形和正向优化规则要求，有利于增强规划实施适应性、提高空间要素保障能力，具有合理性和可行性。</w:t>
      </w:r>
    </w:p>
    <w:p w14:paraId="04C49079">
      <w:pPr>
        <w:pStyle w:val="4"/>
        <w:numPr>
          <w:ilvl w:val="255"/>
          <w:numId w:val="0"/>
        </w:numPr>
        <w:ind w:firstLine="640"/>
        <w:rPr>
          <w:rFonts w:ascii="Times New Roman" w:hAnsi="Times New Roman" w:cs="Times New Roman"/>
          <w:sz w:val="32"/>
          <w:szCs w:val="32"/>
        </w:rPr>
      </w:pPr>
      <w:bookmarkStart w:id="220" w:name="_Toc237352510"/>
      <w:bookmarkStart w:id="221" w:name="_Toc6883"/>
      <w:bookmarkStart w:id="222" w:name="_Toc21494"/>
      <w:bookmarkStart w:id="223" w:name="_Toc12664"/>
      <w:bookmarkStart w:id="224" w:name="_Toc9515"/>
      <w:bookmarkStart w:id="225" w:name="_Toc237355896"/>
      <w:bookmarkStart w:id="226" w:name="_Toc237355830"/>
      <w:bookmarkStart w:id="227" w:name="_Toc234143845"/>
      <w:bookmarkStart w:id="228" w:name="_Toc28233"/>
      <w:bookmarkStart w:id="229" w:name="_Toc237875611"/>
      <w:bookmarkStart w:id="230" w:name="_Toc236649051"/>
      <w:r>
        <w:rPr>
          <w:rFonts w:ascii="Times New Roman" w:hAnsi="Times New Roman" w:cs="Times New Roman"/>
          <w:sz w:val="32"/>
          <w:szCs w:val="32"/>
        </w:rPr>
        <w:t>一、空间管控边界维护有利于守牢安全底线、稳定总体格局</w:t>
      </w:r>
      <w:bookmarkEnd w:id="220"/>
      <w:bookmarkEnd w:id="221"/>
      <w:bookmarkEnd w:id="222"/>
      <w:bookmarkEnd w:id="223"/>
      <w:bookmarkEnd w:id="224"/>
      <w:bookmarkEnd w:id="225"/>
      <w:bookmarkEnd w:id="226"/>
      <w:bookmarkEnd w:id="227"/>
      <w:bookmarkEnd w:id="228"/>
      <w:bookmarkEnd w:id="229"/>
      <w:bookmarkEnd w:id="230"/>
    </w:p>
    <w:p w14:paraId="69F9BFB9">
      <w:pPr>
        <w:spacing w:line="560" w:lineRule="exact"/>
        <w:rPr>
          <w:rFonts w:ascii="Times New Roman" w:hAnsi="Times New Roman"/>
        </w:rPr>
      </w:pPr>
      <w:r>
        <w:rPr>
          <w:rFonts w:ascii="Times New Roman" w:hAnsi="Times New Roman"/>
        </w:rPr>
        <w:t>本次空间管控边界维护中，国家确定的耕地保有量、永久基本农田保护面积、生态保护红线面积、城镇开发边界扩展倍数等约束性指标均未突破，自治区国土空间安全底线保持稳定。城镇开发边界维护在不突破自治区</w:t>
      </w:r>
      <w:r>
        <w:rPr>
          <w:rFonts w:hint="eastAsia" w:ascii="Times New Roman" w:hAnsi="Times New Roman"/>
        </w:rPr>
        <w:t>城镇开发边界扩展倍数</w:t>
      </w:r>
      <w:r>
        <w:rPr>
          <w:rFonts w:ascii="Times New Roman" w:hAnsi="Times New Roman"/>
        </w:rPr>
        <w:t>的前提下，对增量</w:t>
      </w:r>
      <w:r>
        <w:rPr>
          <w:rFonts w:hint="eastAsia" w:ascii="Times New Roman" w:hAnsi="Times New Roman"/>
        </w:rPr>
        <w:t>规模</w:t>
      </w:r>
      <w:r>
        <w:rPr>
          <w:rFonts w:ascii="Times New Roman" w:hAnsi="Times New Roman"/>
        </w:rPr>
        <w:t>进行</w:t>
      </w:r>
      <w:r>
        <w:rPr>
          <w:rFonts w:hint="eastAsia" w:ascii="Times New Roman" w:hAnsi="Times New Roman"/>
        </w:rPr>
        <w:t>全区</w:t>
      </w:r>
      <w:r>
        <w:rPr>
          <w:rFonts w:ascii="Times New Roman" w:hAnsi="Times New Roman"/>
        </w:rPr>
        <w:t>统筹，有利于提升</w:t>
      </w:r>
      <w:r>
        <w:rPr>
          <w:rFonts w:hint="eastAsia" w:ascii="Times New Roman" w:hAnsi="Times New Roman"/>
        </w:rPr>
        <w:t>土地要素</w:t>
      </w:r>
      <w:r>
        <w:rPr>
          <w:rFonts w:ascii="Times New Roman" w:hAnsi="Times New Roman"/>
        </w:rPr>
        <w:t>配置效率。</w:t>
      </w:r>
    </w:p>
    <w:p w14:paraId="6661D02B">
      <w:pPr>
        <w:pStyle w:val="4"/>
        <w:numPr>
          <w:ilvl w:val="255"/>
          <w:numId w:val="0"/>
        </w:numPr>
        <w:ind w:firstLine="640"/>
        <w:rPr>
          <w:rFonts w:ascii="Times New Roman" w:hAnsi="Times New Roman" w:cs="Times New Roman"/>
          <w:sz w:val="32"/>
          <w:szCs w:val="32"/>
        </w:rPr>
      </w:pPr>
      <w:bookmarkStart w:id="231" w:name="_Toc1242"/>
      <w:bookmarkStart w:id="232" w:name="_Toc237875614"/>
      <w:bookmarkStart w:id="233" w:name="_Toc12968"/>
      <w:bookmarkStart w:id="234" w:name="_Toc237355899"/>
      <w:bookmarkStart w:id="235" w:name="_Toc24736"/>
      <w:bookmarkStart w:id="236" w:name="_Toc236649054"/>
      <w:bookmarkStart w:id="237" w:name="_Toc24438"/>
      <w:bookmarkStart w:id="238" w:name="_Toc237352513"/>
      <w:bookmarkStart w:id="239" w:name="_Toc25470"/>
      <w:bookmarkStart w:id="240" w:name="_Toc237355833"/>
      <w:bookmarkStart w:id="241" w:name="_Toc234143848"/>
      <w:r>
        <w:rPr>
          <w:rFonts w:hint="eastAsia" w:ascii="Times New Roman" w:hAnsi="Times New Roman" w:cs="Times New Roman"/>
          <w:sz w:val="32"/>
          <w:szCs w:val="32"/>
        </w:rPr>
        <w:t>二</w:t>
      </w:r>
      <w:r>
        <w:rPr>
          <w:rFonts w:ascii="Times New Roman" w:hAnsi="Times New Roman" w:cs="Times New Roman"/>
          <w:sz w:val="32"/>
          <w:szCs w:val="32"/>
        </w:rPr>
        <w:t>、重点建设项目支撑基础设施体系任务落实</w:t>
      </w:r>
      <w:bookmarkEnd w:id="231"/>
      <w:bookmarkEnd w:id="232"/>
      <w:bookmarkEnd w:id="233"/>
      <w:bookmarkEnd w:id="234"/>
      <w:bookmarkEnd w:id="235"/>
      <w:bookmarkEnd w:id="236"/>
      <w:bookmarkEnd w:id="237"/>
      <w:bookmarkEnd w:id="238"/>
      <w:bookmarkEnd w:id="239"/>
      <w:bookmarkEnd w:id="240"/>
      <w:bookmarkEnd w:id="241"/>
    </w:p>
    <w:p w14:paraId="3A596FAE">
      <w:pPr>
        <w:spacing w:line="560" w:lineRule="exact"/>
        <w:rPr>
          <w:rFonts w:ascii="Times New Roman" w:hAnsi="Times New Roman"/>
        </w:rPr>
      </w:pPr>
      <w:bookmarkStart w:id="242" w:name="_Toc234143849"/>
      <w:bookmarkStart w:id="243" w:name="_Toc31234"/>
      <w:bookmarkStart w:id="244" w:name="_Toc237355834"/>
      <w:bookmarkStart w:id="245" w:name="_Toc1527"/>
      <w:bookmarkStart w:id="246" w:name="_Toc14242"/>
      <w:bookmarkStart w:id="247" w:name="_Toc2042"/>
      <w:bookmarkStart w:id="248" w:name="_Toc18865"/>
      <w:bookmarkStart w:id="249" w:name="_Toc237352514"/>
      <w:bookmarkStart w:id="250" w:name="_Toc237875615"/>
      <w:bookmarkStart w:id="251" w:name="_Toc237355900"/>
      <w:bookmarkStart w:id="252" w:name="_Toc236649055"/>
      <w:r>
        <w:rPr>
          <w:rFonts w:ascii="Times New Roman" w:hAnsi="Times New Roman"/>
        </w:rPr>
        <w:t>本轮重点建设项目维护重点衔接国家和自治区“十五五”</w:t>
      </w:r>
      <w:r>
        <w:rPr>
          <w:rFonts w:hint="eastAsia" w:ascii="Times New Roman" w:hAnsi="Times New Roman"/>
        </w:rPr>
        <w:t xml:space="preserve"> 发展</w:t>
      </w:r>
      <w:r>
        <w:rPr>
          <w:rFonts w:ascii="Times New Roman" w:hAnsi="Times New Roman"/>
        </w:rPr>
        <w:t>规划部署，落实</w:t>
      </w:r>
      <w:r>
        <w:rPr>
          <w:rFonts w:hint="eastAsia" w:ascii="Times New Roman" w:hAnsi="Times New Roman"/>
        </w:rPr>
        <w:t>重大任务和重大工程</w:t>
      </w:r>
      <w:r>
        <w:rPr>
          <w:rFonts w:ascii="Times New Roman" w:hAnsi="Times New Roman"/>
        </w:rPr>
        <w:t>空间保障要求。</w:t>
      </w:r>
      <w:r>
        <w:rPr>
          <w:rFonts w:hint="eastAsia" w:ascii="Times New Roman" w:hAnsi="Times New Roman"/>
        </w:rPr>
        <w:t>增补</w:t>
      </w:r>
      <w:r>
        <w:rPr>
          <w:rFonts w:ascii="Times New Roman" w:hAnsi="Times New Roman"/>
        </w:rPr>
        <w:t>交通、水利、能源</w:t>
      </w:r>
      <w:r>
        <w:rPr>
          <w:rFonts w:hint="eastAsia" w:ascii="Times New Roman" w:hAnsi="Times New Roman"/>
        </w:rPr>
        <w:t>、防灾减灾</w:t>
      </w:r>
      <w:r>
        <w:rPr>
          <w:rFonts w:ascii="Times New Roman" w:hAnsi="Times New Roman"/>
        </w:rPr>
        <w:t>等项目布局与自治区国土空间开发保护格局基本协调，未改变</w:t>
      </w:r>
      <w:r>
        <w:rPr>
          <w:rFonts w:hint="eastAsia" w:ascii="Times New Roman" w:hAnsi="Times New Roman"/>
        </w:rPr>
        <w:t>《</w:t>
      </w:r>
      <w:r>
        <w:rPr>
          <w:rFonts w:ascii="Times New Roman" w:hAnsi="Times New Roman"/>
        </w:rPr>
        <w:t>规划</w:t>
      </w:r>
      <w:r>
        <w:rPr>
          <w:rFonts w:hint="eastAsia" w:ascii="Times New Roman" w:hAnsi="Times New Roman"/>
        </w:rPr>
        <w:t>》</w:t>
      </w:r>
      <w:r>
        <w:rPr>
          <w:rFonts w:ascii="Times New Roman" w:hAnsi="Times New Roman"/>
        </w:rPr>
        <w:t>确定的国土空间开发保护总体格局。</w:t>
      </w:r>
    </w:p>
    <w:p w14:paraId="365D5F02">
      <w:pPr>
        <w:pStyle w:val="7"/>
        <w:numPr>
          <w:ilvl w:val="255"/>
          <w:numId w:val="0"/>
        </w:numPr>
        <w:ind w:left="640" w:leftChars="200"/>
        <w:rPr>
          <w:rFonts w:ascii="Times New Roman" w:hAnsi="Times New Roman" w:eastAsia="楷体_GB2312"/>
        </w:rPr>
      </w:pPr>
      <w:r>
        <w:rPr>
          <w:rFonts w:ascii="Times New Roman" w:hAnsi="Times New Roman" w:eastAsia="楷体_GB2312"/>
        </w:rPr>
        <w:t>（一）交通类增补项目</w:t>
      </w:r>
      <w:bookmarkEnd w:id="242"/>
      <w:bookmarkEnd w:id="243"/>
      <w:bookmarkEnd w:id="244"/>
      <w:bookmarkEnd w:id="245"/>
      <w:bookmarkEnd w:id="246"/>
      <w:bookmarkEnd w:id="247"/>
      <w:bookmarkEnd w:id="248"/>
      <w:bookmarkEnd w:id="249"/>
      <w:bookmarkEnd w:id="250"/>
      <w:bookmarkEnd w:id="251"/>
      <w:bookmarkEnd w:id="252"/>
    </w:p>
    <w:p w14:paraId="7E7AE563">
      <w:pPr>
        <w:spacing w:line="560" w:lineRule="exact"/>
        <w:rPr>
          <w:rFonts w:ascii="Times New Roman" w:hAnsi="Times New Roman"/>
        </w:rPr>
      </w:pPr>
      <w:r>
        <w:rPr>
          <w:rFonts w:hint="eastAsia" w:ascii="Times New Roman" w:hAnsi="Times New Roman"/>
        </w:rPr>
        <w:t>交通类增补项目对标《</w:t>
      </w:r>
      <w:r>
        <w:rPr>
          <w:rFonts w:ascii="Times New Roman" w:hAnsi="Times New Roman"/>
        </w:rPr>
        <w:t>规划</w:t>
      </w:r>
      <w:r>
        <w:rPr>
          <w:rFonts w:hint="eastAsia" w:ascii="Times New Roman" w:hAnsi="Times New Roman"/>
        </w:rPr>
        <w:t>》“推进综合交通枢纽一体化规划建设”建设目标。轨道交通方面，落实《</w:t>
      </w:r>
      <w:r>
        <w:rPr>
          <w:rFonts w:ascii="Times New Roman" w:hAnsi="Times New Roman"/>
        </w:rPr>
        <w:t>规划</w:t>
      </w:r>
      <w:r>
        <w:rPr>
          <w:rFonts w:hint="eastAsia" w:ascii="Times New Roman" w:hAnsi="Times New Roman"/>
        </w:rPr>
        <w:t>》确定的骨干线路、既有通道扩能改造和区域联络线建设安排，支撑国际联运通道、疆内互联互通和进出疆通道能力提升，强化对都市圈、城镇群和产业集聚区的服务支撑。公路方面，落实《</w:t>
      </w:r>
      <w:r>
        <w:rPr>
          <w:rFonts w:ascii="Times New Roman" w:hAnsi="Times New Roman"/>
        </w:rPr>
        <w:t>规划</w:t>
      </w:r>
      <w:r>
        <w:rPr>
          <w:rFonts w:hint="eastAsia" w:ascii="Times New Roman" w:hAnsi="Times New Roman"/>
        </w:rPr>
        <w:t>》确定的高速公路、普通国省干线建设安排，统筹推进新建和改扩建项目，进一步强化口岸联通、路网韧性和通行能力支撑。民航机场方面，落实《</w:t>
      </w:r>
      <w:r>
        <w:rPr>
          <w:rFonts w:ascii="Times New Roman" w:hAnsi="Times New Roman"/>
        </w:rPr>
        <w:t>规划</w:t>
      </w:r>
      <w:r>
        <w:rPr>
          <w:rFonts w:hint="eastAsia" w:ascii="Times New Roman" w:hAnsi="Times New Roman"/>
        </w:rPr>
        <w:t>》确定的机场布局和功能层级安排，推进支线机场新建迁建及重点机场改扩建项目空间保障，支撑干支衔接的民航运输体系建设。</w:t>
      </w:r>
    </w:p>
    <w:p w14:paraId="091D9A8C">
      <w:pPr>
        <w:pStyle w:val="7"/>
        <w:numPr>
          <w:ilvl w:val="255"/>
          <w:numId w:val="0"/>
        </w:numPr>
        <w:ind w:left="640" w:leftChars="200"/>
        <w:rPr>
          <w:rFonts w:ascii="Times New Roman" w:hAnsi="Times New Roman" w:eastAsia="楷体_GB2312"/>
        </w:rPr>
      </w:pPr>
      <w:bookmarkStart w:id="253" w:name="_Toc234143850"/>
      <w:bookmarkStart w:id="254" w:name="_Toc237875616"/>
      <w:bookmarkStart w:id="255" w:name="_Toc8235"/>
      <w:bookmarkStart w:id="256" w:name="_Toc24095"/>
      <w:bookmarkStart w:id="257" w:name="_Toc237355835"/>
      <w:bookmarkStart w:id="258" w:name="_Toc237352515"/>
      <w:bookmarkStart w:id="259" w:name="_Toc17545"/>
      <w:bookmarkStart w:id="260" w:name="_Toc237355901"/>
      <w:bookmarkStart w:id="261" w:name="_Toc21219"/>
      <w:bookmarkStart w:id="262" w:name="_Toc15686"/>
      <w:bookmarkStart w:id="263" w:name="_Toc236649056"/>
      <w:r>
        <w:rPr>
          <w:rFonts w:hint="eastAsia" w:ascii="Times New Roman" w:hAnsi="Times New Roman" w:eastAsia="楷体_GB2312"/>
        </w:rPr>
        <w:t>（二）水利类增补项目</w:t>
      </w:r>
      <w:bookmarkEnd w:id="253"/>
      <w:bookmarkEnd w:id="254"/>
      <w:bookmarkEnd w:id="255"/>
      <w:bookmarkEnd w:id="256"/>
      <w:bookmarkEnd w:id="257"/>
      <w:bookmarkEnd w:id="258"/>
      <w:bookmarkEnd w:id="259"/>
      <w:bookmarkEnd w:id="260"/>
      <w:bookmarkEnd w:id="261"/>
      <w:bookmarkEnd w:id="262"/>
      <w:bookmarkEnd w:id="263"/>
    </w:p>
    <w:p w14:paraId="39515E2B">
      <w:pPr>
        <w:spacing w:line="560" w:lineRule="exact"/>
        <w:rPr>
          <w:rFonts w:ascii="Times New Roman" w:hAnsi="Times New Roman"/>
        </w:rPr>
      </w:pPr>
      <w:r>
        <w:rPr>
          <w:rFonts w:hint="eastAsia" w:ascii="Times New Roman" w:hAnsi="Times New Roman"/>
        </w:rPr>
        <w:t>水利类增补项目落实《</w:t>
      </w:r>
      <w:r>
        <w:rPr>
          <w:rFonts w:ascii="Times New Roman" w:hAnsi="Times New Roman"/>
        </w:rPr>
        <w:t>规划</w:t>
      </w:r>
      <w:r>
        <w:rPr>
          <w:rFonts w:hint="eastAsia" w:ascii="Times New Roman" w:hAnsi="Times New Roman"/>
        </w:rPr>
        <w:t>》“水资源调配、水资源安全保障”要求，包括水资源优化配置、水库调蓄工程、水生态保护修复、水能资源开发利用等方面。重点区域引水与水资源配置工程支撑跨流域、跨区域水资源统筹调配；水库工程强化流域调蓄、供水储备和防洪减灾功能，提升区域水安全保障能力；湖泊生态保护与河流水生态修复工程重点服务流域生态水量保障和绿洲生态涵养需求，维护流域生态系统稳定；水电站项目按照流域水能资源开发利用要求有序推进，扩大清洁能源供给。</w:t>
      </w:r>
    </w:p>
    <w:p w14:paraId="65EB3C36">
      <w:pPr>
        <w:pStyle w:val="7"/>
        <w:numPr>
          <w:ilvl w:val="255"/>
          <w:numId w:val="0"/>
        </w:numPr>
        <w:ind w:left="640" w:leftChars="200"/>
        <w:rPr>
          <w:rFonts w:ascii="Times New Roman" w:hAnsi="Times New Roman" w:eastAsia="楷体_GB2312"/>
        </w:rPr>
      </w:pPr>
      <w:bookmarkStart w:id="264" w:name="_Toc237355836"/>
      <w:bookmarkStart w:id="265" w:name="_Toc8217"/>
      <w:bookmarkStart w:id="266" w:name="_Toc234143851"/>
      <w:bookmarkStart w:id="267" w:name="_Toc23253"/>
      <w:bookmarkStart w:id="268" w:name="_Toc237355902"/>
      <w:bookmarkStart w:id="269" w:name="_Toc19612"/>
      <w:bookmarkStart w:id="270" w:name="_Toc31453"/>
      <w:bookmarkStart w:id="271" w:name="_Toc237875617"/>
      <w:bookmarkStart w:id="272" w:name="_Toc237352516"/>
      <w:bookmarkStart w:id="273" w:name="_Toc236649057"/>
      <w:bookmarkStart w:id="274" w:name="_Toc15495"/>
      <w:r>
        <w:rPr>
          <w:rFonts w:hint="eastAsia" w:ascii="Times New Roman" w:hAnsi="Times New Roman" w:eastAsia="楷体_GB2312"/>
        </w:rPr>
        <w:t>（三）能源类增补项目</w:t>
      </w:r>
      <w:bookmarkEnd w:id="264"/>
      <w:bookmarkEnd w:id="265"/>
      <w:bookmarkEnd w:id="266"/>
      <w:bookmarkEnd w:id="267"/>
      <w:bookmarkEnd w:id="268"/>
      <w:bookmarkEnd w:id="269"/>
      <w:bookmarkEnd w:id="270"/>
      <w:bookmarkEnd w:id="271"/>
      <w:bookmarkEnd w:id="272"/>
      <w:bookmarkEnd w:id="273"/>
      <w:bookmarkEnd w:id="274"/>
    </w:p>
    <w:p w14:paraId="07CA2B4B">
      <w:pPr>
        <w:spacing w:line="560" w:lineRule="exact"/>
        <w:rPr>
          <w:rFonts w:ascii="Times New Roman" w:hAnsi="Times New Roman"/>
        </w:rPr>
      </w:pPr>
      <w:r>
        <w:rPr>
          <w:rFonts w:hint="eastAsia" w:ascii="Times New Roman" w:hAnsi="Times New Roman"/>
        </w:rPr>
        <w:t>能源类增补项目落实《</w:t>
      </w:r>
      <w:r>
        <w:rPr>
          <w:rFonts w:ascii="Times New Roman" w:hAnsi="Times New Roman"/>
        </w:rPr>
        <w:t>规划</w:t>
      </w:r>
      <w:r>
        <w:rPr>
          <w:rFonts w:hint="eastAsia" w:ascii="Times New Roman" w:hAnsi="Times New Roman"/>
        </w:rPr>
        <w:t>》“优化能源结构及骨干电网系统布局”目标。电网建设方面，优先推进疆电外送特高压直流及配套</w:t>
      </w:r>
      <w:r>
        <w:rPr>
          <w:rFonts w:ascii="Times New Roman" w:hAnsi="Times New Roman"/>
        </w:rPr>
        <w:t>750</w:t>
      </w:r>
      <w:r>
        <w:rPr>
          <w:rFonts w:hint="eastAsia" w:ascii="Times New Roman" w:hAnsi="Times New Roman"/>
        </w:rPr>
        <w:t>千伏输变电工程建设，完善全区电力主网架，扩大疆电外送规模。新能源方面，落实大型新能源基地布局，统筹风光储、水光储一体化、光伏治沙及配套储能设施建设，支撑能源清洁低碳转型。油气保障方面，衔接塔里木、准噶尔盆地油气稳产上产，推进管网联通等项目空间落实。煤炭保供方面，有序推进煤矿新建与改扩建项目落位，支撑煤炭产能布局优化和能源安全保障。</w:t>
      </w:r>
    </w:p>
    <w:p w14:paraId="468EBC44">
      <w:pPr>
        <w:pStyle w:val="7"/>
        <w:numPr>
          <w:ilvl w:val="255"/>
          <w:numId w:val="0"/>
        </w:numPr>
        <w:ind w:left="640" w:leftChars="200"/>
        <w:rPr>
          <w:rFonts w:ascii="Times New Roman" w:hAnsi="Times New Roman" w:eastAsia="楷体_GB2312"/>
        </w:rPr>
      </w:pPr>
      <w:bookmarkStart w:id="275" w:name="_Toc7519"/>
      <w:bookmarkStart w:id="276" w:name="_Toc237355903"/>
      <w:bookmarkStart w:id="277" w:name="_Toc6286"/>
      <w:bookmarkStart w:id="278" w:name="_Toc236649058"/>
      <w:bookmarkStart w:id="279" w:name="_Toc237352517"/>
      <w:bookmarkStart w:id="280" w:name="_Toc234143852"/>
      <w:bookmarkStart w:id="281" w:name="_Toc237875618"/>
      <w:bookmarkStart w:id="282" w:name="_Toc237355837"/>
      <w:bookmarkStart w:id="283" w:name="_Toc17743"/>
      <w:bookmarkStart w:id="284" w:name="_Toc18837"/>
      <w:bookmarkStart w:id="285" w:name="_Toc18744"/>
      <w:r>
        <w:rPr>
          <w:rFonts w:hint="eastAsia" w:ascii="Times New Roman" w:hAnsi="Times New Roman" w:eastAsia="楷体_GB2312"/>
        </w:rPr>
        <w:t>（四）防灾减灾类增补项目</w:t>
      </w:r>
      <w:bookmarkEnd w:id="275"/>
      <w:bookmarkEnd w:id="276"/>
      <w:bookmarkEnd w:id="277"/>
      <w:bookmarkEnd w:id="278"/>
      <w:bookmarkEnd w:id="279"/>
      <w:bookmarkEnd w:id="280"/>
      <w:bookmarkEnd w:id="281"/>
      <w:bookmarkEnd w:id="282"/>
      <w:bookmarkEnd w:id="283"/>
      <w:bookmarkEnd w:id="284"/>
      <w:bookmarkEnd w:id="285"/>
    </w:p>
    <w:p w14:paraId="198D71AB">
      <w:pPr>
        <w:spacing w:line="560" w:lineRule="exact"/>
        <w:rPr>
          <w:rFonts w:ascii="Times New Roman" w:hAnsi="Times New Roman"/>
        </w:rPr>
      </w:pPr>
      <w:r>
        <w:rPr>
          <w:rFonts w:hint="eastAsia" w:ascii="Times New Roman" w:hAnsi="Times New Roman"/>
        </w:rPr>
        <w:t>防灾减灾类增补项目落实《</w:t>
      </w:r>
      <w:r>
        <w:rPr>
          <w:rFonts w:ascii="Times New Roman" w:hAnsi="Times New Roman"/>
        </w:rPr>
        <w:t>规划</w:t>
      </w:r>
      <w:r>
        <w:rPr>
          <w:rFonts w:hint="eastAsia" w:ascii="Times New Roman" w:hAnsi="Times New Roman"/>
        </w:rPr>
        <w:t>》中健全公共安全与综合防灾减灾救灾体系相关要求。人防防护工程方面，推进人员疏散隐蔽等项目空间落实，支撑城镇综合防护和应急疏散能力建设。应急救援体系方面，推进综合性应急救援及配套保障设施建设，支撑应急处置和国防动员保障体系完善。指挥通信保障方面，落实各级指挥所和指挥信息系统建设安排，支撑指挥调度和安全通信保障能力提升。</w:t>
      </w:r>
    </w:p>
    <w:p w14:paraId="7B0FB6DE">
      <w:pPr>
        <w:spacing w:line="560" w:lineRule="exact"/>
        <w:rPr>
          <w:rFonts w:ascii="Times New Roman" w:hAnsi="Times New Roman"/>
        </w:rPr>
      </w:pPr>
    </w:p>
    <w:sectPr>
      <w:pgSz w:w="11906" w:h="16838"/>
      <w:pgMar w:top="1440" w:right="1474" w:bottom="1440" w:left="1587"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F79E2D4-56B3-413E-B1EC-B01BE51CA62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2" w:fontKey="{A4B686F4-8558-4DF0-B640-0202B6ECECA7}"/>
  </w:font>
  <w:font w:name="楷体">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方正仿宋_GBK">
    <w:panose1 w:val="02000000000000000000"/>
    <w:charset w:val="86"/>
    <w:family w:val="script"/>
    <w:pitch w:val="default"/>
    <w:sig w:usb0="A00002BF" w:usb1="38CF7CFA" w:usb2="00082016" w:usb3="00000000" w:csb0="00040001" w:csb1="00000000"/>
  </w:font>
  <w:font w:name="楷体_GB2312">
    <w:altName w:val="楷体"/>
    <w:panose1 w:val="02010609030101010101"/>
    <w:charset w:val="86"/>
    <w:family w:val="modern"/>
    <w:pitch w:val="default"/>
    <w:sig w:usb0="00000000" w:usb1="00000000" w:usb2="00000010" w:usb3="00000000" w:csb0="00040000" w:csb1="00000000"/>
    <w:embedRegular r:id="rId3" w:fontKey="{5673B0F0-F948-4D7F-A3D7-88F92053DD66}"/>
  </w:font>
  <w:font w:name="方正小标宋简体">
    <w:panose1 w:val="02000000000000000000"/>
    <w:charset w:val="86"/>
    <w:family w:val="auto"/>
    <w:pitch w:val="default"/>
    <w:sig w:usb0="00000001" w:usb1="08000000" w:usb2="00000000" w:usb3="00000000" w:csb0="00040000" w:csb1="00000000"/>
    <w:embedRegular r:id="rId4" w:fontKey="{48C50B5F-51FC-4131-9E9E-26018CA3C6FC}"/>
  </w:font>
  <w:font w:name="华文中宋">
    <w:panose1 w:val="02010600040101010101"/>
    <w:charset w:val="86"/>
    <w:family w:val="auto"/>
    <w:pitch w:val="default"/>
    <w:sig w:usb0="00000287" w:usb1="080F0000" w:usb2="00000000" w:usb3="00000000" w:csb0="0004009F" w:csb1="DFD70000"/>
    <w:embedRegular r:id="rId5" w:fontKey="{0C37DE55-7C70-4BCB-A3F8-69CDED9CE48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24E18">
    <w:pPr>
      <w:pStyle w:val="21"/>
      <w:ind w:firstLine="0" w:firstLineChars="0"/>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w:t>
    </w:r>
    <w:sdt>
      <w:sdtPr>
        <w:rPr>
          <w:rFonts w:asciiTheme="minorEastAsia" w:hAnsiTheme="minorEastAsia" w:eastAsiaTheme="minorEastAsia"/>
          <w:sz w:val="28"/>
          <w:szCs w:val="28"/>
        </w:rPr>
        <w:id w:val="-1109502383"/>
      </w:sdtPr>
      <w:sdtEndPr>
        <w:rPr>
          <w:rFonts w:asciiTheme="minorEastAsia" w:hAnsiTheme="minorEastAsia" w:eastAsiaTheme="minorEastAsia"/>
          <w:sz w:val="28"/>
          <w:szCs w:val="28"/>
        </w:rPr>
      </w:sdtEndPr>
      <w:sdtContent>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10</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816A8">
    <w:pPr>
      <w:pStyle w:val="2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319DA">
    <w:pPr>
      <w:pStyle w:val="2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40"/>
      </w:pPr>
      <w:r>
        <w:separator/>
      </w:r>
    </w:p>
  </w:footnote>
  <w:footnote w:type="continuationSeparator" w:id="1">
    <w:p>
      <w:pPr>
        <w:spacing w:line="36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CDEE3">
    <w:pPr>
      <w:pStyle w:val="22"/>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FCA70">
    <w:pPr>
      <w:pStyle w:val="2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DD34C">
    <w:pPr>
      <w:pStyle w:val="22"/>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ED6736"/>
    <w:multiLevelType w:val="multilevel"/>
    <w:tmpl w:val="39ED6736"/>
    <w:lvl w:ilvl="0" w:tentative="0">
      <w:start w:val="1"/>
      <w:numFmt w:val="japaneseCounting"/>
      <w:pStyle w:val="4"/>
      <w:lvlText w:val="%1、"/>
      <w:lvlJc w:val="left"/>
      <w:pPr>
        <w:ind w:left="660" w:hanging="66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4A7A6974"/>
    <w:multiLevelType w:val="multilevel"/>
    <w:tmpl w:val="4A7A6974"/>
    <w:lvl w:ilvl="0" w:tentative="0">
      <w:start w:val="1"/>
      <w:numFmt w:val="japaneseCounting"/>
      <w:pStyle w:val="5"/>
      <w:lvlText w:val="（%1）"/>
      <w:lvlJc w:val="left"/>
      <w:pPr>
        <w:ind w:left="885" w:hanging="885"/>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51D92B07"/>
    <w:multiLevelType w:val="multilevel"/>
    <w:tmpl w:val="51D92B07"/>
    <w:lvl w:ilvl="0" w:tentative="0">
      <w:start w:val="1"/>
      <w:numFmt w:val="japaneseCounting"/>
      <w:pStyle w:val="2"/>
      <w:lvlText w:val="第%1章"/>
      <w:lvlJc w:val="left"/>
      <w:pPr>
        <w:ind w:left="3963" w:hanging="1410"/>
      </w:pPr>
      <w:rPr>
        <w:rFonts w:hint="default"/>
      </w:rPr>
    </w:lvl>
    <w:lvl w:ilvl="1" w:tentative="0">
      <w:start w:val="1"/>
      <w:numFmt w:val="lowerLetter"/>
      <w:lvlText w:val="%2)"/>
      <w:lvlJc w:val="left"/>
      <w:pPr>
        <w:ind w:left="3433" w:hanging="440"/>
      </w:pPr>
    </w:lvl>
    <w:lvl w:ilvl="2" w:tentative="0">
      <w:start w:val="1"/>
      <w:numFmt w:val="lowerRoman"/>
      <w:lvlText w:val="%3."/>
      <w:lvlJc w:val="right"/>
      <w:pPr>
        <w:ind w:left="3873" w:hanging="440"/>
      </w:pPr>
    </w:lvl>
    <w:lvl w:ilvl="3" w:tentative="0">
      <w:start w:val="1"/>
      <w:numFmt w:val="decimal"/>
      <w:lvlText w:val="%4."/>
      <w:lvlJc w:val="left"/>
      <w:pPr>
        <w:ind w:left="4313" w:hanging="440"/>
      </w:pPr>
    </w:lvl>
    <w:lvl w:ilvl="4" w:tentative="0">
      <w:start w:val="1"/>
      <w:numFmt w:val="lowerLetter"/>
      <w:lvlText w:val="%5)"/>
      <w:lvlJc w:val="left"/>
      <w:pPr>
        <w:ind w:left="4753" w:hanging="440"/>
      </w:pPr>
    </w:lvl>
    <w:lvl w:ilvl="5" w:tentative="0">
      <w:start w:val="1"/>
      <w:numFmt w:val="lowerRoman"/>
      <w:lvlText w:val="%6."/>
      <w:lvlJc w:val="right"/>
      <w:pPr>
        <w:ind w:left="5193" w:hanging="440"/>
      </w:pPr>
    </w:lvl>
    <w:lvl w:ilvl="6" w:tentative="0">
      <w:start w:val="1"/>
      <w:numFmt w:val="decimal"/>
      <w:lvlText w:val="%7."/>
      <w:lvlJc w:val="left"/>
      <w:pPr>
        <w:ind w:left="5633" w:hanging="440"/>
      </w:pPr>
    </w:lvl>
    <w:lvl w:ilvl="7" w:tentative="0">
      <w:start w:val="1"/>
      <w:numFmt w:val="lowerLetter"/>
      <w:lvlText w:val="%8)"/>
      <w:lvlJc w:val="left"/>
      <w:pPr>
        <w:ind w:left="6073" w:hanging="440"/>
      </w:pPr>
    </w:lvl>
    <w:lvl w:ilvl="8" w:tentative="0">
      <w:start w:val="1"/>
      <w:numFmt w:val="lowerRoman"/>
      <w:lvlText w:val="%9."/>
      <w:lvlJc w:val="right"/>
      <w:pPr>
        <w:ind w:left="6513" w:hanging="440"/>
      </w:pPr>
    </w:lvl>
  </w:abstractNum>
  <w:abstractNum w:abstractNumId="3">
    <w:nsid w:val="65745D67"/>
    <w:multiLevelType w:val="multilevel"/>
    <w:tmpl w:val="65745D67"/>
    <w:lvl w:ilvl="0" w:tentative="0">
      <w:start w:val="1"/>
      <w:numFmt w:val="japaneseCounting"/>
      <w:lvlText w:val="%1、"/>
      <w:lvlJc w:val="left"/>
      <w:pPr>
        <w:ind w:left="1360" w:hanging="720"/>
      </w:pPr>
      <w:rPr>
        <w:rFonts w:hint="default"/>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abstractNum w:abstractNumId="4">
    <w:nsid w:val="67C13714"/>
    <w:multiLevelType w:val="multilevel"/>
    <w:tmpl w:val="67C13714"/>
    <w:lvl w:ilvl="0" w:tentative="0">
      <w:start w:val="1"/>
      <w:numFmt w:val="decimal"/>
      <w:pStyle w:val="78"/>
      <w:lvlText w:val="%1."/>
      <w:lvlJc w:val="left"/>
      <w:pPr>
        <w:ind w:left="1000" w:hanging="360"/>
      </w:pPr>
      <w:rPr>
        <w:rFonts w:hint="default"/>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abstractNum w:abstractNumId="5">
    <w:nsid w:val="6EDC3361"/>
    <w:multiLevelType w:val="multilevel"/>
    <w:tmpl w:val="6EDC3361"/>
    <w:lvl w:ilvl="0" w:tentative="0">
      <w:start w:val="1"/>
      <w:numFmt w:val="japaneseCounting"/>
      <w:pStyle w:val="77"/>
      <w:lvlText w:val="（%1）"/>
      <w:lvlJc w:val="left"/>
      <w:pPr>
        <w:ind w:left="1080" w:hanging="1080"/>
      </w:pPr>
      <w:rPr>
        <w:rFonts w:hint="default"/>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abstractNum w:abstractNumId="6">
    <w:nsid w:val="7CF10CA2"/>
    <w:multiLevelType w:val="multilevel"/>
    <w:tmpl w:val="7CF10CA2"/>
    <w:lvl w:ilvl="0" w:tentative="0">
      <w:start w:val="1"/>
      <w:numFmt w:val="decimal"/>
      <w:pStyle w:val="7"/>
      <w:lvlText w:val="%1、"/>
      <w:lvlJc w:val="left"/>
      <w:pPr>
        <w:ind w:left="857" w:hanging="375"/>
      </w:pPr>
      <w:rPr>
        <w:rFonts w:hint="default"/>
      </w:rPr>
    </w:lvl>
    <w:lvl w:ilvl="1" w:tentative="0">
      <w:start w:val="1"/>
      <w:numFmt w:val="lowerLetter"/>
      <w:lvlText w:val="%2)"/>
      <w:lvlJc w:val="left"/>
      <w:pPr>
        <w:ind w:left="1362" w:hanging="440"/>
      </w:pPr>
    </w:lvl>
    <w:lvl w:ilvl="2" w:tentative="0">
      <w:start w:val="1"/>
      <w:numFmt w:val="lowerRoman"/>
      <w:lvlText w:val="%3."/>
      <w:lvlJc w:val="right"/>
      <w:pPr>
        <w:ind w:left="1802" w:hanging="440"/>
      </w:pPr>
    </w:lvl>
    <w:lvl w:ilvl="3" w:tentative="0">
      <w:start w:val="1"/>
      <w:numFmt w:val="decimal"/>
      <w:lvlText w:val="%4."/>
      <w:lvlJc w:val="left"/>
      <w:pPr>
        <w:ind w:left="2242" w:hanging="440"/>
      </w:pPr>
    </w:lvl>
    <w:lvl w:ilvl="4" w:tentative="0">
      <w:start w:val="1"/>
      <w:numFmt w:val="lowerLetter"/>
      <w:lvlText w:val="%5)"/>
      <w:lvlJc w:val="left"/>
      <w:pPr>
        <w:ind w:left="2682" w:hanging="440"/>
      </w:pPr>
    </w:lvl>
    <w:lvl w:ilvl="5" w:tentative="0">
      <w:start w:val="1"/>
      <w:numFmt w:val="lowerRoman"/>
      <w:lvlText w:val="%6."/>
      <w:lvlJc w:val="right"/>
      <w:pPr>
        <w:ind w:left="3122" w:hanging="440"/>
      </w:pPr>
    </w:lvl>
    <w:lvl w:ilvl="6" w:tentative="0">
      <w:start w:val="1"/>
      <w:numFmt w:val="decimal"/>
      <w:lvlText w:val="%7."/>
      <w:lvlJc w:val="left"/>
      <w:pPr>
        <w:ind w:left="3562" w:hanging="440"/>
      </w:pPr>
    </w:lvl>
    <w:lvl w:ilvl="7" w:tentative="0">
      <w:start w:val="1"/>
      <w:numFmt w:val="lowerLetter"/>
      <w:lvlText w:val="%8)"/>
      <w:lvlJc w:val="left"/>
      <w:pPr>
        <w:ind w:left="4002" w:hanging="440"/>
      </w:pPr>
    </w:lvl>
    <w:lvl w:ilvl="8" w:tentative="0">
      <w:start w:val="1"/>
      <w:numFmt w:val="lowerRoman"/>
      <w:lvlText w:val="%9."/>
      <w:lvlJc w:val="right"/>
      <w:pPr>
        <w:ind w:left="4442" w:hanging="440"/>
      </w:pPr>
    </w:lvl>
  </w:abstractNum>
  <w:abstractNum w:abstractNumId="7">
    <w:nsid w:val="7FEA7E8C"/>
    <w:multiLevelType w:val="multilevel"/>
    <w:tmpl w:val="7FEA7E8C"/>
    <w:lvl w:ilvl="0" w:tentative="0">
      <w:start w:val="1"/>
      <w:numFmt w:val="decimal"/>
      <w:pStyle w:val="8"/>
      <w:lvlText w:val="（%1）"/>
      <w:lvlJc w:val="left"/>
      <w:pPr>
        <w:ind w:left="860" w:hanging="440"/>
      </w:pPr>
      <w:rPr>
        <w:rFonts w:hint="eastAsia"/>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num w:numId="1">
    <w:abstractNumId w:val="2"/>
  </w:num>
  <w:num w:numId="2">
    <w:abstractNumId w:val="0"/>
  </w:num>
  <w:num w:numId="3">
    <w:abstractNumId w:val="1"/>
  </w:num>
  <w:num w:numId="4">
    <w:abstractNumId w:val="6"/>
  </w:num>
  <w:num w:numId="5">
    <w:abstractNumId w:val="7"/>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trackRevisions w:val="1"/>
  <w:documentProtection w:enforcement="0"/>
  <w:defaultTabStop w:val="420"/>
  <w:drawingGridHorizontalSpacing w:val="160"/>
  <w:drawingGridVerticalSpacing w:val="435"/>
  <w:displayHorizont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s://33.89.37.103/weaver/weaver.file.FileDownload?fileid=796274&amp;type=document"/>
  </w:docVars>
  <w:rsids>
    <w:rsidRoot w:val="57B360AE"/>
    <w:rsid w:val="0000114D"/>
    <w:rsid w:val="0000328A"/>
    <w:rsid w:val="000050BB"/>
    <w:rsid w:val="00005B69"/>
    <w:rsid w:val="00006117"/>
    <w:rsid w:val="00007499"/>
    <w:rsid w:val="00011299"/>
    <w:rsid w:val="00031EDF"/>
    <w:rsid w:val="0003301C"/>
    <w:rsid w:val="00046DA7"/>
    <w:rsid w:val="00050139"/>
    <w:rsid w:val="00050662"/>
    <w:rsid w:val="00053FE7"/>
    <w:rsid w:val="0007370D"/>
    <w:rsid w:val="000933BA"/>
    <w:rsid w:val="00096D30"/>
    <w:rsid w:val="000A194E"/>
    <w:rsid w:val="000C458C"/>
    <w:rsid w:val="000C7688"/>
    <w:rsid w:val="000D42D0"/>
    <w:rsid w:val="000E6F98"/>
    <w:rsid w:val="000F1A63"/>
    <w:rsid w:val="00155814"/>
    <w:rsid w:val="00196683"/>
    <w:rsid w:val="001A47C5"/>
    <w:rsid w:val="001B430D"/>
    <w:rsid w:val="001D0C43"/>
    <w:rsid w:val="001F1188"/>
    <w:rsid w:val="00220FDF"/>
    <w:rsid w:val="00223D5D"/>
    <w:rsid w:val="00247F5A"/>
    <w:rsid w:val="0025200E"/>
    <w:rsid w:val="0027346A"/>
    <w:rsid w:val="00281C0A"/>
    <w:rsid w:val="0028637B"/>
    <w:rsid w:val="00291D73"/>
    <w:rsid w:val="002A3EC9"/>
    <w:rsid w:val="002A620E"/>
    <w:rsid w:val="002C7403"/>
    <w:rsid w:val="002E038B"/>
    <w:rsid w:val="002E22CF"/>
    <w:rsid w:val="002F18B1"/>
    <w:rsid w:val="002F5512"/>
    <w:rsid w:val="0030638C"/>
    <w:rsid w:val="003072C6"/>
    <w:rsid w:val="00315004"/>
    <w:rsid w:val="003172E8"/>
    <w:rsid w:val="00327B7B"/>
    <w:rsid w:val="0033622F"/>
    <w:rsid w:val="00363D8D"/>
    <w:rsid w:val="00367CA9"/>
    <w:rsid w:val="00373CCC"/>
    <w:rsid w:val="00381628"/>
    <w:rsid w:val="003A16E1"/>
    <w:rsid w:val="003B0EB3"/>
    <w:rsid w:val="003B4946"/>
    <w:rsid w:val="003E51FA"/>
    <w:rsid w:val="003F43AE"/>
    <w:rsid w:val="003F78AC"/>
    <w:rsid w:val="00412265"/>
    <w:rsid w:val="00416692"/>
    <w:rsid w:val="00420856"/>
    <w:rsid w:val="00442FEE"/>
    <w:rsid w:val="004644B9"/>
    <w:rsid w:val="00480130"/>
    <w:rsid w:val="00491A53"/>
    <w:rsid w:val="00491CB6"/>
    <w:rsid w:val="004A11B6"/>
    <w:rsid w:val="004A43ED"/>
    <w:rsid w:val="004A493E"/>
    <w:rsid w:val="004A6260"/>
    <w:rsid w:val="004B0B3E"/>
    <w:rsid w:val="004E55D8"/>
    <w:rsid w:val="004F7969"/>
    <w:rsid w:val="005233CF"/>
    <w:rsid w:val="00523612"/>
    <w:rsid w:val="0053342C"/>
    <w:rsid w:val="0054385E"/>
    <w:rsid w:val="005445E5"/>
    <w:rsid w:val="00546B40"/>
    <w:rsid w:val="00563EE5"/>
    <w:rsid w:val="005723CD"/>
    <w:rsid w:val="00574EB8"/>
    <w:rsid w:val="0057531A"/>
    <w:rsid w:val="00575C49"/>
    <w:rsid w:val="00591BBE"/>
    <w:rsid w:val="005949AD"/>
    <w:rsid w:val="005A4F33"/>
    <w:rsid w:val="005C1DA0"/>
    <w:rsid w:val="005C5164"/>
    <w:rsid w:val="005D4136"/>
    <w:rsid w:val="005D45BC"/>
    <w:rsid w:val="005E3015"/>
    <w:rsid w:val="005F2D35"/>
    <w:rsid w:val="0061019D"/>
    <w:rsid w:val="0062129D"/>
    <w:rsid w:val="006251D2"/>
    <w:rsid w:val="006542EB"/>
    <w:rsid w:val="00656253"/>
    <w:rsid w:val="006563A0"/>
    <w:rsid w:val="00687ECD"/>
    <w:rsid w:val="006956E9"/>
    <w:rsid w:val="006A3D9D"/>
    <w:rsid w:val="006B6FC0"/>
    <w:rsid w:val="006C017B"/>
    <w:rsid w:val="006D0457"/>
    <w:rsid w:val="006D2A7F"/>
    <w:rsid w:val="006E2FC8"/>
    <w:rsid w:val="006E40DD"/>
    <w:rsid w:val="006E50C7"/>
    <w:rsid w:val="006E642F"/>
    <w:rsid w:val="006F4E78"/>
    <w:rsid w:val="00704E3D"/>
    <w:rsid w:val="00722549"/>
    <w:rsid w:val="00723395"/>
    <w:rsid w:val="00753A61"/>
    <w:rsid w:val="00757202"/>
    <w:rsid w:val="00757E07"/>
    <w:rsid w:val="00767A5D"/>
    <w:rsid w:val="007773D6"/>
    <w:rsid w:val="007A7DF4"/>
    <w:rsid w:val="007C0A9F"/>
    <w:rsid w:val="007E682E"/>
    <w:rsid w:val="007E7C1A"/>
    <w:rsid w:val="007F5359"/>
    <w:rsid w:val="008003E9"/>
    <w:rsid w:val="00837D8D"/>
    <w:rsid w:val="0084077C"/>
    <w:rsid w:val="008444F1"/>
    <w:rsid w:val="00844997"/>
    <w:rsid w:val="00851725"/>
    <w:rsid w:val="00854C95"/>
    <w:rsid w:val="00862425"/>
    <w:rsid w:val="00865693"/>
    <w:rsid w:val="0086776F"/>
    <w:rsid w:val="0087176F"/>
    <w:rsid w:val="00874DC9"/>
    <w:rsid w:val="0087552F"/>
    <w:rsid w:val="00881558"/>
    <w:rsid w:val="00881A85"/>
    <w:rsid w:val="008A47FA"/>
    <w:rsid w:val="008D7E12"/>
    <w:rsid w:val="008E6E6E"/>
    <w:rsid w:val="008F2C07"/>
    <w:rsid w:val="008F2C6B"/>
    <w:rsid w:val="00925059"/>
    <w:rsid w:val="009370F3"/>
    <w:rsid w:val="00943B5A"/>
    <w:rsid w:val="00946AB5"/>
    <w:rsid w:val="00947186"/>
    <w:rsid w:val="00962068"/>
    <w:rsid w:val="0096425D"/>
    <w:rsid w:val="0096622E"/>
    <w:rsid w:val="00967B3E"/>
    <w:rsid w:val="009733B3"/>
    <w:rsid w:val="00977303"/>
    <w:rsid w:val="00986663"/>
    <w:rsid w:val="009A59BC"/>
    <w:rsid w:val="009B3D56"/>
    <w:rsid w:val="009B78C3"/>
    <w:rsid w:val="009C7BE2"/>
    <w:rsid w:val="009C7E8B"/>
    <w:rsid w:val="009D7215"/>
    <w:rsid w:val="009F4CC8"/>
    <w:rsid w:val="00A034F6"/>
    <w:rsid w:val="00A225D9"/>
    <w:rsid w:val="00A42646"/>
    <w:rsid w:val="00A601E1"/>
    <w:rsid w:val="00A64B65"/>
    <w:rsid w:val="00A8521C"/>
    <w:rsid w:val="00A85604"/>
    <w:rsid w:val="00A90274"/>
    <w:rsid w:val="00A92208"/>
    <w:rsid w:val="00AA0928"/>
    <w:rsid w:val="00AA3592"/>
    <w:rsid w:val="00AB27F1"/>
    <w:rsid w:val="00AB47B5"/>
    <w:rsid w:val="00AC3563"/>
    <w:rsid w:val="00AC5861"/>
    <w:rsid w:val="00AD0E8B"/>
    <w:rsid w:val="00AE64C5"/>
    <w:rsid w:val="00AF4C98"/>
    <w:rsid w:val="00AF6588"/>
    <w:rsid w:val="00AF70C9"/>
    <w:rsid w:val="00B079B6"/>
    <w:rsid w:val="00B17A3A"/>
    <w:rsid w:val="00B33EC4"/>
    <w:rsid w:val="00B344A3"/>
    <w:rsid w:val="00B37D62"/>
    <w:rsid w:val="00B46695"/>
    <w:rsid w:val="00B51620"/>
    <w:rsid w:val="00B552DB"/>
    <w:rsid w:val="00B564F9"/>
    <w:rsid w:val="00B744FA"/>
    <w:rsid w:val="00B87DA1"/>
    <w:rsid w:val="00B97445"/>
    <w:rsid w:val="00BA4E3B"/>
    <w:rsid w:val="00BA61A9"/>
    <w:rsid w:val="00BB5321"/>
    <w:rsid w:val="00BC1A9D"/>
    <w:rsid w:val="00BD2C0A"/>
    <w:rsid w:val="00BE791A"/>
    <w:rsid w:val="00BF1AE1"/>
    <w:rsid w:val="00BF7789"/>
    <w:rsid w:val="00BF7A3F"/>
    <w:rsid w:val="00C00979"/>
    <w:rsid w:val="00C057A5"/>
    <w:rsid w:val="00C15C54"/>
    <w:rsid w:val="00C161C7"/>
    <w:rsid w:val="00C26830"/>
    <w:rsid w:val="00C4558F"/>
    <w:rsid w:val="00C47E17"/>
    <w:rsid w:val="00C54866"/>
    <w:rsid w:val="00C56666"/>
    <w:rsid w:val="00C60D7A"/>
    <w:rsid w:val="00C67B78"/>
    <w:rsid w:val="00C818B9"/>
    <w:rsid w:val="00C9114C"/>
    <w:rsid w:val="00C93055"/>
    <w:rsid w:val="00CB3AE8"/>
    <w:rsid w:val="00CB4E82"/>
    <w:rsid w:val="00CC591B"/>
    <w:rsid w:val="00CD158E"/>
    <w:rsid w:val="00CD47EE"/>
    <w:rsid w:val="00CF0D4E"/>
    <w:rsid w:val="00CF58B3"/>
    <w:rsid w:val="00CF6A67"/>
    <w:rsid w:val="00D0595E"/>
    <w:rsid w:val="00D05A94"/>
    <w:rsid w:val="00D12348"/>
    <w:rsid w:val="00D33C1F"/>
    <w:rsid w:val="00D358F9"/>
    <w:rsid w:val="00D53472"/>
    <w:rsid w:val="00D64B48"/>
    <w:rsid w:val="00D774FD"/>
    <w:rsid w:val="00D8182B"/>
    <w:rsid w:val="00D950E6"/>
    <w:rsid w:val="00DA3B7C"/>
    <w:rsid w:val="00DB0A33"/>
    <w:rsid w:val="00DF14F2"/>
    <w:rsid w:val="00E002D6"/>
    <w:rsid w:val="00E00F3B"/>
    <w:rsid w:val="00E00F82"/>
    <w:rsid w:val="00E1429E"/>
    <w:rsid w:val="00E14B89"/>
    <w:rsid w:val="00E15EE6"/>
    <w:rsid w:val="00E203D8"/>
    <w:rsid w:val="00E30A21"/>
    <w:rsid w:val="00E35AC0"/>
    <w:rsid w:val="00E374E0"/>
    <w:rsid w:val="00E43C74"/>
    <w:rsid w:val="00E554FF"/>
    <w:rsid w:val="00E6193D"/>
    <w:rsid w:val="00E71170"/>
    <w:rsid w:val="00E80539"/>
    <w:rsid w:val="00E94631"/>
    <w:rsid w:val="00EA634F"/>
    <w:rsid w:val="00EC61F3"/>
    <w:rsid w:val="00ED606C"/>
    <w:rsid w:val="00EE4DD9"/>
    <w:rsid w:val="00EE5D91"/>
    <w:rsid w:val="00EF199E"/>
    <w:rsid w:val="00F02565"/>
    <w:rsid w:val="00F0709D"/>
    <w:rsid w:val="00F07296"/>
    <w:rsid w:val="00F13E9D"/>
    <w:rsid w:val="00F15D28"/>
    <w:rsid w:val="00F16C32"/>
    <w:rsid w:val="00F37188"/>
    <w:rsid w:val="00F3719D"/>
    <w:rsid w:val="00F37F46"/>
    <w:rsid w:val="00F61E54"/>
    <w:rsid w:val="00F6515E"/>
    <w:rsid w:val="00F84B24"/>
    <w:rsid w:val="00FA0DDE"/>
    <w:rsid w:val="00FA42E2"/>
    <w:rsid w:val="00FB193F"/>
    <w:rsid w:val="00FC460E"/>
    <w:rsid w:val="00FC6932"/>
    <w:rsid w:val="00FE13BB"/>
    <w:rsid w:val="00FE308C"/>
    <w:rsid w:val="00FE6870"/>
    <w:rsid w:val="00FF1E52"/>
    <w:rsid w:val="00FF6892"/>
    <w:rsid w:val="00FF69A8"/>
    <w:rsid w:val="01300F31"/>
    <w:rsid w:val="01C012ED"/>
    <w:rsid w:val="01F21CA7"/>
    <w:rsid w:val="02EE79FE"/>
    <w:rsid w:val="032011A6"/>
    <w:rsid w:val="035B79A0"/>
    <w:rsid w:val="05885327"/>
    <w:rsid w:val="05E32E5D"/>
    <w:rsid w:val="0661608D"/>
    <w:rsid w:val="06701B73"/>
    <w:rsid w:val="067247D5"/>
    <w:rsid w:val="075A7AEE"/>
    <w:rsid w:val="08B01A1D"/>
    <w:rsid w:val="08DB6CDD"/>
    <w:rsid w:val="096178A3"/>
    <w:rsid w:val="0A3E2A12"/>
    <w:rsid w:val="0A436F66"/>
    <w:rsid w:val="0B70168E"/>
    <w:rsid w:val="0CD8050E"/>
    <w:rsid w:val="0CFB3764"/>
    <w:rsid w:val="0D17AEF7"/>
    <w:rsid w:val="0DD53C78"/>
    <w:rsid w:val="0E7D3AB9"/>
    <w:rsid w:val="0F0B2C45"/>
    <w:rsid w:val="0F4E05BF"/>
    <w:rsid w:val="0F6D4758"/>
    <w:rsid w:val="10CD527C"/>
    <w:rsid w:val="11EF589B"/>
    <w:rsid w:val="11F51301"/>
    <w:rsid w:val="122C3D05"/>
    <w:rsid w:val="12C7072D"/>
    <w:rsid w:val="14DD150E"/>
    <w:rsid w:val="14EE3A59"/>
    <w:rsid w:val="1545683E"/>
    <w:rsid w:val="156A2333"/>
    <w:rsid w:val="15B50A85"/>
    <w:rsid w:val="160F6EA4"/>
    <w:rsid w:val="169A3C25"/>
    <w:rsid w:val="16DE1BA1"/>
    <w:rsid w:val="17C75E4D"/>
    <w:rsid w:val="1825067A"/>
    <w:rsid w:val="18C010E1"/>
    <w:rsid w:val="19466124"/>
    <w:rsid w:val="196421FD"/>
    <w:rsid w:val="19C575D4"/>
    <w:rsid w:val="1A1E1206"/>
    <w:rsid w:val="1AB65653"/>
    <w:rsid w:val="1B5E1CD2"/>
    <w:rsid w:val="1D082B69"/>
    <w:rsid w:val="1D792624"/>
    <w:rsid w:val="1DA60CD7"/>
    <w:rsid w:val="1DB23D88"/>
    <w:rsid w:val="1DE06068"/>
    <w:rsid w:val="1EA13FCF"/>
    <w:rsid w:val="1F577B23"/>
    <w:rsid w:val="211803A6"/>
    <w:rsid w:val="22EA5CE4"/>
    <w:rsid w:val="233F727A"/>
    <w:rsid w:val="24B451B2"/>
    <w:rsid w:val="24B7348C"/>
    <w:rsid w:val="24B92881"/>
    <w:rsid w:val="24BD218B"/>
    <w:rsid w:val="25230E74"/>
    <w:rsid w:val="26974E76"/>
    <w:rsid w:val="27252DB6"/>
    <w:rsid w:val="28DA1580"/>
    <w:rsid w:val="2956762A"/>
    <w:rsid w:val="298C6AE4"/>
    <w:rsid w:val="299B26DC"/>
    <w:rsid w:val="2AD4412B"/>
    <w:rsid w:val="2B31291E"/>
    <w:rsid w:val="2B6330D4"/>
    <w:rsid w:val="2C2B1B29"/>
    <w:rsid w:val="2C6646BB"/>
    <w:rsid w:val="2C863145"/>
    <w:rsid w:val="2DADAD35"/>
    <w:rsid w:val="2E737F60"/>
    <w:rsid w:val="2EAD083F"/>
    <w:rsid w:val="2F860BD0"/>
    <w:rsid w:val="2FBA611F"/>
    <w:rsid w:val="2FEFB008"/>
    <w:rsid w:val="303E3C7E"/>
    <w:rsid w:val="30A14833"/>
    <w:rsid w:val="30A43A04"/>
    <w:rsid w:val="30D23FA5"/>
    <w:rsid w:val="31490108"/>
    <w:rsid w:val="31713AE0"/>
    <w:rsid w:val="32422986"/>
    <w:rsid w:val="325F308C"/>
    <w:rsid w:val="32777762"/>
    <w:rsid w:val="33B3637D"/>
    <w:rsid w:val="34805777"/>
    <w:rsid w:val="34A34F48"/>
    <w:rsid w:val="34F16F20"/>
    <w:rsid w:val="35DC6B72"/>
    <w:rsid w:val="36254176"/>
    <w:rsid w:val="36322D6F"/>
    <w:rsid w:val="36AA6BF6"/>
    <w:rsid w:val="370A5D67"/>
    <w:rsid w:val="37152F66"/>
    <w:rsid w:val="3721591F"/>
    <w:rsid w:val="37364881"/>
    <w:rsid w:val="37AEB010"/>
    <w:rsid w:val="37E67497"/>
    <w:rsid w:val="392426EC"/>
    <w:rsid w:val="3A2B3DF4"/>
    <w:rsid w:val="3AF068F3"/>
    <w:rsid w:val="3B1C5A87"/>
    <w:rsid w:val="3D052D63"/>
    <w:rsid w:val="3EDB2CE7"/>
    <w:rsid w:val="3F6149B1"/>
    <w:rsid w:val="3FD2347F"/>
    <w:rsid w:val="41310F0B"/>
    <w:rsid w:val="41D03EC6"/>
    <w:rsid w:val="42637904"/>
    <w:rsid w:val="42F81ED3"/>
    <w:rsid w:val="43650777"/>
    <w:rsid w:val="43FA4C02"/>
    <w:rsid w:val="441B42C0"/>
    <w:rsid w:val="442C286D"/>
    <w:rsid w:val="446064DE"/>
    <w:rsid w:val="45AA78B4"/>
    <w:rsid w:val="464B56B2"/>
    <w:rsid w:val="46781BED"/>
    <w:rsid w:val="47020DCD"/>
    <w:rsid w:val="477908C9"/>
    <w:rsid w:val="477A6E00"/>
    <w:rsid w:val="48CC544E"/>
    <w:rsid w:val="494472CB"/>
    <w:rsid w:val="494C4FD1"/>
    <w:rsid w:val="49920C6C"/>
    <w:rsid w:val="49B050A9"/>
    <w:rsid w:val="4AE68314"/>
    <w:rsid w:val="4B565B59"/>
    <w:rsid w:val="4BCF3BD3"/>
    <w:rsid w:val="4C371778"/>
    <w:rsid w:val="4C786DD2"/>
    <w:rsid w:val="4D1F480E"/>
    <w:rsid w:val="4D9246AF"/>
    <w:rsid w:val="4DA929B3"/>
    <w:rsid w:val="4DBAA0A7"/>
    <w:rsid w:val="4DDE030B"/>
    <w:rsid w:val="4DF523A6"/>
    <w:rsid w:val="4F932C84"/>
    <w:rsid w:val="514216A9"/>
    <w:rsid w:val="519418C3"/>
    <w:rsid w:val="520C2D5F"/>
    <w:rsid w:val="52F029D3"/>
    <w:rsid w:val="53004BAA"/>
    <w:rsid w:val="54C85C55"/>
    <w:rsid w:val="556B42F2"/>
    <w:rsid w:val="55C76FE7"/>
    <w:rsid w:val="563A5953"/>
    <w:rsid w:val="569A6A77"/>
    <w:rsid w:val="56B9252E"/>
    <w:rsid w:val="57B360AE"/>
    <w:rsid w:val="57E958A1"/>
    <w:rsid w:val="58942478"/>
    <w:rsid w:val="58FE1F66"/>
    <w:rsid w:val="5A231E3C"/>
    <w:rsid w:val="5AF70F46"/>
    <w:rsid w:val="5B37178B"/>
    <w:rsid w:val="5B3F207B"/>
    <w:rsid w:val="5B7D0E9E"/>
    <w:rsid w:val="5B9C2737"/>
    <w:rsid w:val="5C2313D1"/>
    <w:rsid w:val="5C5F7CDD"/>
    <w:rsid w:val="5D032E6E"/>
    <w:rsid w:val="5D625C27"/>
    <w:rsid w:val="5F171E43"/>
    <w:rsid w:val="5F2EA6CC"/>
    <w:rsid w:val="5F710313"/>
    <w:rsid w:val="5FEF75D8"/>
    <w:rsid w:val="616D488B"/>
    <w:rsid w:val="6243340F"/>
    <w:rsid w:val="62E314A2"/>
    <w:rsid w:val="63376139"/>
    <w:rsid w:val="63682FEE"/>
    <w:rsid w:val="637B24A0"/>
    <w:rsid w:val="64025D70"/>
    <w:rsid w:val="64A717AD"/>
    <w:rsid w:val="652321F8"/>
    <w:rsid w:val="657C10BA"/>
    <w:rsid w:val="66DC5F00"/>
    <w:rsid w:val="67FF58A6"/>
    <w:rsid w:val="6819272C"/>
    <w:rsid w:val="6B1341A6"/>
    <w:rsid w:val="6C6475C8"/>
    <w:rsid w:val="6C7322C4"/>
    <w:rsid w:val="6C7C57CC"/>
    <w:rsid w:val="6D2060CC"/>
    <w:rsid w:val="6D700672"/>
    <w:rsid w:val="6D794BCA"/>
    <w:rsid w:val="6E2E5A0D"/>
    <w:rsid w:val="6E7B2310"/>
    <w:rsid w:val="6E8458FE"/>
    <w:rsid w:val="6EBE56B6"/>
    <w:rsid w:val="6F492231"/>
    <w:rsid w:val="6FDD7DBD"/>
    <w:rsid w:val="6FF72B1C"/>
    <w:rsid w:val="70622071"/>
    <w:rsid w:val="70A96102"/>
    <w:rsid w:val="71564587"/>
    <w:rsid w:val="715B71FA"/>
    <w:rsid w:val="71F4319C"/>
    <w:rsid w:val="728974C3"/>
    <w:rsid w:val="73BA353C"/>
    <w:rsid w:val="741C1D44"/>
    <w:rsid w:val="742A00F8"/>
    <w:rsid w:val="747249BF"/>
    <w:rsid w:val="747653D0"/>
    <w:rsid w:val="74E009E0"/>
    <w:rsid w:val="7547389E"/>
    <w:rsid w:val="759C7DD3"/>
    <w:rsid w:val="75EC7F05"/>
    <w:rsid w:val="75F25C45"/>
    <w:rsid w:val="76260FDE"/>
    <w:rsid w:val="76E05C13"/>
    <w:rsid w:val="773872EC"/>
    <w:rsid w:val="777F44D8"/>
    <w:rsid w:val="7797547A"/>
    <w:rsid w:val="77AFA692"/>
    <w:rsid w:val="77B04009"/>
    <w:rsid w:val="77EDD518"/>
    <w:rsid w:val="77F7A2E0"/>
    <w:rsid w:val="782E6522"/>
    <w:rsid w:val="78A77AF7"/>
    <w:rsid w:val="7960045C"/>
    <w:rsid w:val="7A8E6500"/>
    <w:rsid w:val="7AEBAC70"/>
    <w:rsid w:val="7B094295"/>
    <w:rsid w:val="7B591BF0"/>
    <w:rsid w:val="7B844949"/>
    <w:rsid w:val="7C3C3501"/>
    <w:rsid w:val="7C6E3B16"/>
    <w:rsid w:val="7DC16897"/>
    <w:rsid w:val="7F0127EA"/>
    <w:rsid w:val="7FBA50C3"/>
    <w:rsid w:val="7FE3AAB9"/>
    <w:rsid w:val="7FEEC629"/>
    <w:rsid w:val="7FFF2253"/>
    <w:rsid w:val="8FEB60F6"/>
    <w:rsid w:val="96BB34B7"/>
    <w:rsid w:val="D7DB3E69"/>
    <w:rsid w:val="D8EBD79C"/>
    <w:rsid w:val="DEBEF2CA"/>
    <w:rsid w:val="DEF9F846"/>
    <w:rsid w:val="DEFFE21B"/>
    <w:rsid w:val="DF2A57FA"/>
    <w:rsid w:val="E7F7BCE1"/>
    <w:rsid w:val="EBBFAD14"/>
    <w:rsid w:val="F577E708"/>
    <w:rsid w:val="F5E78882"/>
    <w:rsid w:val="FBEBFE3B"/>
    <w:rsid w:val="FCDED3A1"/>
    <w:rsid w:val="FDF9C460"/>
    <w:rsid w:val="FEFC0150"/>
    <w:rsid w:val="FFDFE177"/>
    <w:rsid w:val="FFEFC252"/>
    <w:rsid w:val="FFFC9150"/>
    <w:rsid w:val="FFFF44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iPriority="39" w:semiHidden="0" w:name="toc 5"/>
    <w:lsdException w:qFormat="1" w:uiPriority="39" w:semiHidden="0" w:name="toc 6"/>
    <w:lsdException w:qFormat="1" w:uiPriority="39" w:semiHidden="0" w:name="toc 7"/>
    <w:lsdException w:qFormat="1" w:unhideWhenUsed="0" w:uiPriority="39" w:semiHidden="0" w:name="toc 8"/>
    <w:lsdException w:qFormat="1" w:uiPriority="39"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640" w:firstLineChars="200"/>
      <w:jc w:val="both"/>
    </w:pPr>
    <w:rPr>
      <w:rFonts w:ascii="仿宋_GB2312" w:eastAsia="仿宋_GB2312" w:cs="Times New Roman" w:hAnsiTheme="minorHAnsi"/>
      <w:sz w:val="32"/>
      <w:szCs w:val="32"/>
      <w:lang w:val="en-US" w:eastAsia="zh-CN" w:bidi="ar-SA"/>
    </w:rPr>
  </w:style>
  <w:style w:type="paragraph" w:styleId="2">
    <w:name w:val="heading 1"/>
    <w:basedOn w:val="3"/>
    <w:next w:val="1"/>
    <w:link w:val="52"/>
    <w:qFormat/>
    <w:uiPriority w:val="9"/>
    <w:pPr>
      <w:widowControl/>
      <w:numPr>
        <w:ilvl w:val="0"/>
        <w:numId w:val="1"/>
      </w:numPr>
      <w:spacing w:beforeAutospacing="1" w:afterAutospacing="1" w:line="560" w:lineRule="exact"/>
      <w:ind w:left="0" w:firstLine="0" w:firstLineChars="0"/>
      <w:jc w:val="center"/>
      <w:outlineLvl w:val="0"/>
    </w:pPr>
    <w:rPr>
      <w:rFonts w:ascii="黑体" w:hAnsi="黑体" w:eastAsia="黑体" w:cs="仿宋_GB2312"/>
      <w:bCs/>
      <w:color w:val="000000" w:themeColor="text1"/>
      <w:sz w:val="40"/>
      <w:szCs w:val="40"/>
      <w14:textFill>
        <w14:solidFill>
          <w14:schemeClr w14:val="tx1"/>
        </w14:solidFill>
      </w14:textFill>
      <w14:ligatures w14:val="standardContextual"/>
    </w:rPr>
  </w:style>
  <w:style w:type="paragraph" w:styleId="4">
    <w:name w:val="heading 2"/>
    <w:basedOn w:val="5"/>
    <w:next w:val="1"/>
    <w:link w:val="53"/>
    <w:unhideWhenUsed/>
    <w:qFormat/>
    <w:uiPriority w:val="9"/>
    <w:pPr>
      <w:widowControl/>
      <w:numPr>
        <w:ilvl w:val="0"/>
        <w:numId w:val="2"/>
      </w:numPr>
      <w:spacing w:line="560" w:lineRule="exact"/>
      <w:ind w:left="0" w:firstLine="803" w:firstLineChars="200"/>
      <w:outlineLvl w:val="1"/>
    </w:pPr>
    <w:rPr>
      <w:rFonts w:ascii="黑体" w:hAnsi="黑体" w:eastAsia="黑体"/>
      <w:b w:val="0"/>
      <w:bCs w:val="0"/>
      <w:sz w:val="40"/>
      <w:szCs w:val="40"/>
    </w:rPr>
  </w:style>
  <w:style w:type="paragraph" w:styleId="5">
    <w:name w:val="heading 3"/>
    <w:basedOn w:val="6"/>
    <w:next w:val="1"/>
    <w:link w:val="54"/>
    <w:unhideWhenUsed/>
    <w:qFormat/>
    <w:uiPriority w:val="9"/>
    <w:pPr>
      <w:numPr>
        <w:ilvl w:val="0"/>
        <w:numId w:val="3"/>
      </w:numPr>
      <w:ind w:firstLine="0" w:firstLineChars="0"/>
      <w:outlineLvl w:val="2"/>
    </w:pPr>
    <w:rPr>
      <w:rFonts w:ascii="楷体" w:hAnsi="楷体" w:eastAsia="楷体" w:cs="仿宋_GB2312"/>
      <w:b/>
      <w:bCs/>
    </w:rPr>
  </w:style>
  <w:style w:type="paragraph" w:styleId="7">
    <w:name w:val="heading 4"/>
    <w:basedOn w:val="6"/>
    <w:next w:val="1"/>
    <w:link w:val="55"/>
    <w:unhideWhenUsed/>
    <w:qFormat/>
    <w:uiPriority w:val="9"/>
    <w:pPr>
      <w:numPr>
        <w:ilvl w:val="0"/>
        <w:numId w:val="4"/>
      </w:numPr>
      <w:spacing w:line="560" w:lineRule="exact"/>
      <w:ind w:firstLine="0" w:firstLineChars="0"/>
      <w:outlineLvl w:val="3"/>
    </w:pPr>
    <w:rPr>
      <w:rFonts w:ascii="楷体" w:hAnsi="楷体" w:eastAsia="楷体"/>
    </w:rPr>
  </w:style>
  <w:style w:type="paragraph" w:styleId="8">
    <w:name w:val="heading 5"/>
    <w:basedOn w:val="1"/>
    <w:next w:val="1"/>
    <w:link w:val="41"/>
    <w:unhideWhenUsed/>
    <w:qFormat/>
    <w:uiPriority w:val="9"/>
    <w:pPr>
      <w:keepNext/>
      <w:keepLines/>
      <w:numPr>
        <w:ilvl w:val="0"/>
        <w:numId w:val="5"/>
      </w:numPr>
      <w:spacing w:before="280" w:after="290" w:line="376" w:lineRule="auto"/>
      <w:ind w:firstLine="0" w:firstLineChars="0"/>
      <w:outlineLvl w:val="4"/>
    </w:pPr>
    <w:rPr>
      <w:rFonts w:ascii="楷体" w:hAnsi="楷体" w:eastAsia="楷体"/>
    </w:rPr>
  </w:style>
  <w:style w:type="paragraph" w:styleId="9">
    <w:name w:val="heading 6"/>
    <w:basedOn w:val="1"/>
    <w:next w:val="1"/>
    <w:link w:val="46"/>
    <w:semiHidden/>
    <w:unhideWhenUsed/>
    <w:qFormat/>
    <w:uiPriority w:val="9"/>
    <w:pPr>
      <w:keepNext/>
      <w:keepLines/>
      <w:widowControl/>
      <w:kinsoku w:val="0"/>
      <w:autoSpaceDE w:val="0"/>
      <w:autoSpaceDN w:val="0"/>
      <w:adjustRightInd w:val="0"/>
      <w:snapToGrid w:val="0"/>
      <w:spacing w:before="40" w:line="240" w:lineRule="auto"/>
      <w:ind w:firstLine="0" w:firstLineChars="0"/>
      <w:jc w:val="left"/>
      <w:textAlignment w:val="baseline"/>
      <w:outlineLvl w:val="5"/>
    </w:pPr>
    <w:rPr>
      <w:rFonts w:ascii="Arial" w:hAnsi="Arial" w:eastAsiaTheme="minorEastAsia" w:cstheme="majorBidi"/>
      <w:b/>
      <w:bCs/>
      <w:snapToGrid w:val="0"/>
      <w:color w:val="2E54A1" w:themeColor="accent1" w:themeShade="BF"/>
      <w:sz w:val="21"/>
      <w:szCs w:val="21"/>
      <w:lang w:eastAsia="en-US"/>
    </w:rPr>
  </w:style>
  <w:style w:type="paragraph" w:styleId="10">
    <w:name w:val="heading 7"/>
    <w:basedOn w:val="1"/>
    <w:next w:val="1"/>
    <w:link w:val="47"/>
    <w:semiHidden/>
    <w:unhideWhenUsed/>
    <w:qFormat/>
    <w:uiPriority w:val="9"/>
    <w:pPr>
      <w:keepNext/>
      <w:keepLines/>
      <w:widowControl/>
      <w:kinsoku w:val="0"/>
      <w:autoSpaceDE w:val="0"/>
      <w:autoSpaceDN w:val="0"/>
      <w:adjustRightInd w:val="0"/>
      <w:snapToGrid w:val="0"/>
      <w:spacing w:before="40" w:line="240" w:lineRule="auto"/>
      <w:ind w:firstLine="0" w:firstLineChars="0"/>
      <w:jc w:val="left"/>
      <w:textAlignment w:val="baseline"/>
      <w:outlineLvl w:val="6"/>
    </w:pPr>
    <w:rPr>
      <w:rFonts w:ascii="Arial" w:hAnsi="Arial" w:eastAsiaTheme="minorEastAsia" w:cstheme="majorBidi"/>
      <w:b/>
      <w:bCs/>
      <w:snapToGrid w:val="0"/>
      <w:color w:val="595959" w:themeColor="text1" w:themeTint="A6"/>
      <w:sz w:val="21"/>
      <w:szCs w:val="21"/>
      <w:lang w:eastAsia="en-US"/>
      <w14:textFill>
        <w14:solidFill>
          <w14:schemeClr w14:val="tx1">
            <w14:lumMod w14:val="65000"/>
            <w14:lumOff w14:val="35000"/>
          </w14:schemeClr>
        </w14:solidFill>
      </w14:textFill>
    </w:rPr>
  </w:style>
  <w:style w:type="paragraph" w:styleId="11">
    <w:name w:val="heading 8"/>
    <w:basedOn w:val="1"/>
    <w:next w:val="1"/>
    <w:link w:val="48"/>
    <w:semiHidden/>
    <w:unhideWhenUsed/>
    <w:qFormat/>
    <w:uiPriority w:val="9"/>
    <w:pPr>
      <w:keepNext/>
      <w:keepLines/>
      <w:widowControl/>
      <w:kinsoku w:val="0"/>
      <w:autoSpaceDE w:val="0"/>
      <w:autoSpaceDN w:val="0"/>
      <w:adjustRightInd w:val="0"/>
      <w:snapToGrid w:val="0"/>
      <w:spacing w:line="240" w:lineRule="auto"/>
      <w:ind w:firstLine="0" w:firstLineChars="0"/>
      <w:jc w:val="left"/>
      <w:textAlignment w:val="baseline"/>
      <w:outlineLvl w:val="7"/>
    </w:pPr>
    <w:rPr>
      <w:rFonts w:ascii="Arial" w:hAnsi="Arial" w:eastAsiaTheme="minorEastAsia" w:cstheme="majorBidi"/>
      <w:snapToGrid w:val="0"/>
      <w:color w:val="595959" w:themeColor="text1" w:themeTint="A6"/>
      <w:sz w:val="21"/>
      <w:szCs w:val="21"/>
      <w:lang w:eastAsia="en-US"/>
      <w14:textFill>
        <w14:solidFill>
          <w14:schemeClr w14:val="tx1">
            <w14:lumMod w14:val="65000"/>
            <w14:lumOff w14:val="35000"/>
          </w14:schemeClr>
        </w14:solidFill>
      </w14:textFill>
    </w:rPr>
  </w:style>
  <w:style w:type="paragraph" w:styleId="12">
    <w:name w:val="heading 9"/>
    <w:basedOn w:val="1"/>
    <w:next w:val="1"/>
    <w:link w:val="49"/>
    <w:semiHidden/>
    <w:unhideWhenUsed/>
    <w:qFormat/>
    <w:uiPriority w:val="9"/>
    <w:pPr>
      <w:keepNext/>
      <w:keepLines/>
      <w:widowControl/>
      <w:kinsoku w:val="0"/>
      <w:autoSpaceDE w:val="0"/>
      <w:autoSpaceDN w:val="0"/>
      <w:adjustRightInd w:val="0"/>
      <w:snapToGrid w:val="0"/>
      <w:spacing w:line="240" w:lineRule="auto"/>
      <w:ind w:firstLine="0" w:firstLineChars="0"/>
      <w:jc w:val="left"/>
      <w:textAlignment w:val="baseline"/>
      <w:outlineLvl w:val="8"/>
    </w:pPr>
    <w:rPr>
      <w:rFonts w:ascii="Arial" w:hAnsi="Arial" w:eastAsiaTheme="majorEastAsia" w:cstheme="majorBidi"/>
      <w:snapToGrid w:val="0"/>
      <w:color w:val="595959" w:themeColor="text1" w:themeTint="A6"/>
      <w:sz w:val="21"/>
      <w:szCs w:val="21"/>
      <w:lang w:eastAsia="en-US"/>
      <w14:textFill>
        <w14:solidFill>
          <w14:schemeClr w14:val="tx1">
            <w14:lumMod w14:val="65000"/>
            <w14:lumOff w14:val="35000"/>
          </w14:schemeClr>
        </w14:solidFill>
      </w14:textFill>
    </w:rPr>
  </w:style>
  <w:style w:type="character" w:default="1" w:styleId="34">
    <w:name w:val="Default Paragraph Font"/>
    <w:semiHidden/>
    <w:unhideWhenUsed/>
    <w:qFormat/>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customStyle="1" w:styleId="3">
    <w:name w:val="目录一级"/>
    <w:basedOn w:val="1"/>
    <w:qFormat/>
    <w:uiPriority w:val="0"/>
    <w:rPr>
      <w:b/>
    </w:rPr>
  </w:style>
  <w:style w:type="paragraph" w:styleId="6">
    <w:name w:val="List Paragraph"/>
    <w:basedOn w:val="1"/>
    <w:unhideWhenUsed/>
    <w:qFormat/>
    <w:uiPriority w:val="34"/>
    <w:pPr>
      <w:ind w:firstLine="420"/>
    </w:pPr>
  </w:style>
  <w:style w:type="paragraph" w:styleId="13">
    <w:name w:val="toc 7"/>
    <w:basedOn w:val="1"/>
    <w:next w:val="1"/>
    <w:unhideWhenUsed/>
    <w:qFormat/>
    <w:uiPriority w:val="39"/>
    <w:pPr>
      <w:spacing w:after="160" w:line="278" w:lineRule="auto"/>
      <w:ind w:left="2520" w:leftChars="1200" w:firstLine="0" w:firstLineChars="0"/>
      <w:jc w:val="left"/>
    </w:pPr>
    <w:rPr>
      <w:rFonts w:asciiTheme="minorHAnsi" w:eastAsiaTheme="minorEastAsia" w:cstheme="minorBidi"/>
      <w:kern w:val="2"/>
      <w:sz w:val="22"/>
      <w:szCs w:val="24"/>
      <w14:ligatures w14:val="standardContextual"/>
    </w:rPr>
  </w:style>
  <w:style w:type="paragraph" w:styleId="14">
    <w:name w:val="caption"/>
    <w:next w:val="1"/>
    <w:link w:val="65"/>
    <w:unhideWhenUsed/>
    <w:qFormat/>
    <w:uiPriority w:val="99"/>
    <w:pPr>
      <w:widowControl w:val="0"/>
      <w:spacing w:before="217" w:after="217"/>
      <w:ind w:firstLine="420"/>
      <w:jc w:val="center"/>
    </w:pPr>
    <w:rPr>
      <w:rFonts w:eastAsia="黑体" w:asciiTheme="majorHAnsi" w:hAnsiTheme="majorHAnsi" w:cstheme="majorBidi"/>
      <w:kern w:val="2"/>
      <w:sz w:val="21"/>
      <w:szCs w:val="21"/>
      <w:lang w:val="en-US" w:eastAsia="zh-CN" w:bidi="ar-SA"/>
    </w:rPr>
  </w:style>
  <w:style w:type="paragraph" w:styleId="15">
    <w:name w:val="annotation text"/>
    <w:basedOn w:val="1"/>
    <w:link w:val="80"/>
    <w:qFormat/>
    <w:uiPriority w:val="0"/>
    <w:pPr>
      <w:jc w:val="left"/>
    </w:pPr>
  </w:style>
  <w:style w:type="paragraph" w:styleId="16">
    <w:name w:val="Body Text"/>
    <w:basedOn w:val="1"/>
    <w:link w:val="50"/>
    <w:qFormat/>
    <w:uiPriority w:val="0"/>
    <w:pPr>
      <w:widowControl/>
      <w:kinsoku w:val="0"/>
      <w:autoSpaceDE w:val="0"/>
      <w:autoSpaceDN w:val="0"/>
      <w:adjustRightInd w:val="0"/>
      <w:snapToGrid w:val="0"/>
      <w:spacing w:after="160" w:line="240" w:lineRule="auto"/>
      <w:ind w:firstLine="0" w:firstLineChars="0"/>
      <w:jc w:val="left"/>
      <w:textAlignment w:val="baseline"/>
    </w:pPr>
    <w:rPr>
      <w:rFonts w:ascii="仿宋" w:hAnsi="仿宋" w:eastAsia="仿宋" w:cs="仿宋"/>
      <w:snapToGrid w:val="0"/>
      <w:color w:val="000000"/>
      <w:lang w:eastAsia="en-US"/>
    </w:rPr>
  </w:style>
  <w:style w:type="paragraph" w:styleId="17">
    <w:name w:val="toc 5"/>
    <w:basedOn w:val="1"/>
    <w:next w:val="1"/>
    <w:unhideWhenUsed/>
    <w:qFormat/>
    <w:uiPriority w:val="39"/>
    <w:pPr>
      <w:spacing w:after="160" w:line="278" w:lineRule="auto"/>
      <w:ind w:left="1680" w:leftChars="800" w:firstLine="0" w:firstLineChars="0"/>
      <w:jc w:val="left"/>
    </w:pPr>
    <w:rPr>
      <w:rFonts w:asciiTheme="minorHAnsi" w:eastAsiaTheme="minorEastAsia" w:cstheme="minorBidi"/>
      <w:kern w:val="2"/>
      <w:sz w:val="22"/>
      <w:szCs w:val="24"/>
      <w14:ligatures w14:val="standardContextual"/>
    </w:rPr>
  </w:style>
  <w:style w:type="paragraph" w:styleId="18">
    <w:name w:val="toc 3"/>
    <w:basedOn w:val="1"/>
    <w:next w:val="1"/>
    <w:qFormat/>
    <w:uiPriority w:val="39"/>
    <w:pPr>
      <w:ind w:left="840" w:leftChars="400"/>
    </w:pPr>
  </w:style>
  <w:style w:type="paragraph" w:styleId="19">
    <w:name w:val="toc 8"/>
    <w:basedOn w:val="1"/>
    <w:next w:val="1"/>
    <w:qFormat/>
    <w:uiPriority w:val="39"/>
    <w:pPr>
      <w:spacing w:line="560" w:lineRule="exact"/>
      <w:ind w:left="2240" w:firstLine="200"/>
      <w:jc w:val="left"/>
    </w:pPr>
    <w:rPr>
      <w:rFonts w:ascii="等线" w:hAnsi="仿宋" w:eastAsia="等线"/>
      <w:kern w:val="2"/>
      <w:sz w:val="18"/>
      <w:szCs w:val="18"/>
    </w:rPr>
  </w:style>
  <w:style w:type="paragraph" w:styleId="20">
    <w:name w:val="Date"/>
    <w:basedOn w:val="1"/>
    <w:next w:val="1"/>
    <w:link w:val="83"/>
    <w:qFormat/>
    <w:uiPriority w:val="0"/>
    <w:pPr>
      <w:ind w:left="100" w:leftChars="2500"/>
    </w:pPr>
  </w:style>
  <w:style w:type="paragraph" w:styleId="21">
    <w:name w:val="footer"/>
    <w:basedOn w:val="1"/>
    <w:link w:val="44"/>
    <w:qFormat/>
    <w:uiPriority w:val="99"/>
    <w:pPr>
      <w:tabs>
        <w:tab w:val="center" w:pos="4153"/>
        <w:tab w:val="right" w:pos="8306"/>
      </w:tabs>
      <w:snapToGrid w:val="0"/>
      <w:jc w:val="left"/>
    </w:pPr>
    <w:rPr>
      <w:sz w:val="18"/>
      <w:szCs w:val="18"/>
    </w:rPr>
  </w:style>
  <w:style w:type="paragraph" w:styleId="22">
    <w:name w:val="header"/>
    <w:basedOn w:val="1"/>
    <w:link w:val="43"/>
    <w:qFormat/>
    <w:uiPriority w:val="0"/>
    <w:pPr>
      <w:tabs>
        <w:tab w:val="center" w:pos="4153"/>
        <w:tab w:val="right" w:pos="8306"/>
      </w:tabs>
      <w:snapToGrid w:val="0"/>
      <w:jc w:val="center"/>
    </w:pPr>
    <w:rPr>
      <w:sz w:val="18"/>
      <w:szCs w:val="18"/>
    </w:rPr>
  </w:style>
  <w:style w:type="paragraph" w:styleId="23">
    <w:name w:val="toc 1"/>
    <w:basedOn w:val="1"/>
    <w:next w:val="1"/>
    <w:qFormat/>
    <w:uiPriority w:val="39"/>
  </w:style>
  <w:style w:type="paragraph" w:styleId="24">
    <w:name w:val="toc 4"/>
    <w:basedOn w:val="1"/>
    <w:next w:val="1"/>
    <w:qFormat/>
    <w:uiPriority w:val="39"/>
    <w:pPr>
      <w:ind w:left="1260" w:leftChars="600"/>
    </w:pPr>
  </w:style>
  <w:style w:type="paragraph" w:styleId="25">
    <w:name w:val="Subtitle"/>
    <w:basedOn w:val="1"/>
    <w:next w:val="1"/>
    <w:link w:val="51"/>
    <w:qFormat/>
    <w:uiPriority w:val="11"/>
    <w:pPr>
      <w:widowControl/>
      <w:kinsoku w:val="0"/>
      <w:autoSpaceDE w:val="0"/>
      <w:autoSpaceDN w:val="0"/>
      <w:adjustRightInd w:val="0"/>
      <w:snapToGrid w:val="0"/>
      <w:spacing w:after="160" w:line="240" w:lineRule="auto"/>
      <w:ind w:firstLine="0" w:firstLineChars="0"/>
      <w:jc w:val="center"/>
      <w:textAlignment w:val="baseline"/>
    </w:pPr>
    <w:rPr>
      <w:rFonts w:asciiTheme="majorHAnsi" w:hAnsiTheme="majorHAnsi" w:eastAsiaTheme="majorEastAsia" w:cstheme="majorBidi"/>
      <w:snapToGrid w:val="0"/>
      <w:color w:val="595959" w:themeColor="text1" w:themeTint="A6"/>
      <w:spacing w:val="15"/>
      <w:sz w:val="28"/>
      <w:szCs w:val="28"/>
      <w:lang w:eastAsia="en-US"/>
      <w14:textFill>
        <w14:solidFill>
          <w14:schemeClr w14:val="tx1">
            <w14:lumMod w14:val="65000"/>
            <w14:lumOff w14:val="35000"/>
          </w14:schemeClr>
        </w14:solidFill>
      </w14:textFill>
    </w:rPr>
  </w:style>
  <w:style w:type="paragraph" w:styleId="26">
    <w:name w:val="toc 6"/>
    <w:basedOn w:val="1"/>
    <w:next w:val="1"/>
    <w:unhideWhenUsed/>
    <w:qFormat/>
    <w:uiPriority w:val="39"/>
    <w:pPr>
      <w:spacing w:after="160" w:line="278" w:lineRule="auto"/>
      <w:ind w:left="2100" w:leftChars="1000" w:firstLine="0" w:firstLineChars="0"/>
      <w:jc w:val="left"/>
    </w:pPr>
    <w:rPr>
      <w:rFonts w:asciiTheme="minorHAnsi" w:eastAsiaTheme="minorEastAsia" w:cstheme="minorBidi"/>
      <w:kern w:val="2"/>
      <w:sz w:val="22"/>
      <w:szCs w:val="24"/>
      <w14:ligatures w14:val="standardContextual"/>
    </w:rPr>
  </w:style>
  <w:style w:type="paragraph" w:styleId="27">
    <w:name w:val="toc 2"/>
    <w:basedOn w:val="1"/>
    <w:next w:val="1"/>
    <w:qFormat/>
    <w:uiPriority w:val="39"/>
    <w:pPr>
      <w:ind w:left="420" w:leftChars="200"/>
    </w:pPr>
  </w:style>
  <w:style w:type="paragraph" w:styleId="28">
    <w:name w:val="toc 9"/>
    <w:basedOn w:val="1"/>
    <w:next w:val="1"/>
    <w:unhideWhenUsed/>
    <w:qFormat/>
    <w:uiPriority w:val="39"/>
    <w:pPr>
      <w:spacing w:after="160" w:line="278" w:lineRule="auto"/>
      <w:ind w:left="3360" w:leftChars="1600" w:firstLine="0" w:firstLineChars="0"/>
      <w:jc w:val="left"/>
    </w:pPr>
    <w:rPr>
      <w:rFonts w:asciiTheme="minorHAnsi" w:eastAsiaTheme="minorEastAsia" w:cstheme="minorBidi"/>
      <w:kern w:val="2"/>
      <w:sz w:val="22"/>
      <w:szCs w:val="24"/>
      <w14:ligatures w14:val="standardContextual"/>
    </w:rPr>
  </w:style>
  <w:style w:type="paragraph" w:styleId="29">
    <w:name w:val="Normal (Web)"/>
    <w:basedOn w:val="1"/>
    <w:qFormat/>
    <w:uiPriority w:val="99"/>
    <w:pPr>
      <w:spacing w:beforeAutospacing="1" w:afterAutospacing="1"/>
      <w:jc w:val="left"/>
    </w:pPr>
  </w:style>
  <w:style w:type="paragraph" w:styleId="30">
    <w:name w:val="Title"/>
    <w:basedOn w:val="1"/>
    <w:next w:val="1"/>
    <w:link w:val="45"/>
    <w:qFormat/>
    <w:uiPriority w:val="10"/>
    <w:pPr>
      <w:ind w:firstLine="960"/>
      <w:jc w:val="center"/>
    </w:pPr>
    <w:rPr>
      <w:rFonts w:ascii="黑体" w:hAnsi="黑体" w:eastAsia="黑体"/>
      <w:sz w:val="48"/>
      <w:szCs w:val="48"/>
    </w:rPr>
  </w:style>
  <w:style w:type="paragraph" w:styleId="31">
    <w:name w:val="annotation subject"/>
    <w:basedOn w:val="15"/>
    <w:next w:val="15"/>
    <w:link w:val="81"/>
    <w:qFormat/>
    <w:uiPriority w:val="0"/>
    <w:rPr>
      <w:b/>
      <w:bCs/>
    </w:rPr>
  </w:style>
  <w:style w:type="table" w:styleId="33">
    <w:name w:val="Table Grid"/>
    <w:basedOn w:val="32"/>
    <w:qFormat/>
    <w:uiPriority w:val="39"/>
    <w:pPr>
      <w:widowControl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5">
    <w:name w:val="Strong"/>
    <w:basedOn w:val="34"/>
    <w:qFormat/>
    <w:uiPriority w:val="22"/>
    <w:rPr>
      <w:b/>
    </w:rPr>
  </w:style>
  <w:style w:type="character" w:styleId="36">
    <w:name w:val="Emphasis"/>
    <w:basedOn w:val="34"/>
    <w:qFormat/>
    <w:uiPriority w:val="20"/>
    <w:rPr>
      <w:rFonts w:ascii="黑体" w:hAnsi="黑体" w:eastAsia="黑体"/>
      <w:sz w:val="32"/>
      <w:szCs w:val="32"/>
    </w:rPr>
  </w:style>
  <w:style w:type="character" w:styleId="37">
    <w:name w:val="Hyperlink"/>
    <w:basedOn w:val="34"/>
    <w:unhideWhenUsed/>
    <w:qFormat/>
    <w:uiPriority w:val="99"/>
    <w:rPr>
      <w:color w:val="0026E5" w:themeColor="hyperlink"/>
      <w:u w:val="single"/>
      <w14:textFill>
        <w14:solidFill>
          <w14:schemeClr w14:val="hlink"/>
        </w14:solidFill>
      </w14:textFill>
    </w:rPr>
  </w:style>
  <w:style w:type="character" w:styleId="38">
    <w:name w:val="annotation reference"/>
    <w:basedOn w:val="34"/>
    <w:qFormat/>
    <w:uiPriority w:val="0"/>
    <w:rPr>
      <w:sz w:val="21"/>
      <w:szCs w:val="21"/>
    </w:rPr>
  </w:style>
  <w:style w:type="paragraph" w:customStyle="1" w:styleId="39">
    <w:name w:val="图片"/>
    <w:qFormat/>
    <w:uiPriority w:val="0"/>
    <w:rPr>
      <w:rFonts w:ascii="等线" w:hAnsi="等线" w:eastAsia="仿宋_GB2312" w:cs="仿宋_GB2312"/>
      <w:color w:val="000000" w:themeColor="text1"/>
      <w:kern w:val="2"/>
      <w:sz w:val="32"/>
      <w:szCs w:val="32"/>
      <w:lang w:val="en-US" w:eastAsia="zh-CN" w:bidi="ar-SA"/>
      <w14:textFill>
        <w14:solidFill>
          <w14:schemeClr w14:val="tx1"/>
        </w14:solidFill>
      </w14:textFill>
    </w:rPr>
  </w:style>
  <w:style w:type="paragraph" w:customStyle="1" w:styleId="40">
    <w:name w:val="表格"/>
    <w:basedOn w:val="1"/>
    <w:link w:val="42"/>
    <w:qFormat/>
    <w:uiPriority w:val="0"/>
    <w:pPr>
      <w:spacing w:line="240" w:lineRule="exact"/>
      <w:jc w:val="left"/>
    </w:pPr>
    <w:rPr>
      <w:color w:val="000000"/>
      <w:szCs w:val="21"/>
    </w:rPr>
  </w:style>
  <w:style w:type="character" w:customStyle="1" w:styleId="41">
    <w:name w:val="标题 5 Char"/>
    <w:basedOn w:val="34"/>
    <w:link w:val="8"/>
    <w:qFormat/>
    <w:uiPriority w:val="9"/>
    <w:rPr>
      <w:rFonts w:ascii="楷体" w:hAnsi="楷体" w:eastAsia="楷体"/>
      <w:sz w:val="32"/>
      <w:szCs w:val="32"/>
    </w:rPr>
  </w:style>
  <w:style w:type="character" w:customStyle="1" w:styleId="42">
    <w:name w:val="表格 字符"/>
    <w:basedOn w:val="34"/>
    <w:link w:val="40"/>
    <w:qFormat/>
    <w:uiPriority w:val="0"/>
    <w:rPr>
      <w:rFonts w:asciiTheme="minorHAnsi" w:hAnsiTheme="minorHAnsi" w:eastAsiaTheme="minorEastAsia" w:cstheme="minorBidi"/>
      <w:color w:val="000000"/>
      <w:kern w:val="2"/>
      <w:sz w:val="21"/>
      <w:szCs w:val="21"/>
    </w:rPr>
  </w:style>
  <w:style w:type="character" w:customStyle="1" w:styleId="43">
    <w:name w:val="页眉 Char"/>
    <w:basedOn w:val="34"/>
    <w:link w:val="22"/>
    <w:qFormat/>
    <w:uiPriority w:val="0"/>
    <w:rPr>
      <w:rFonts w:asciiTheme="minorHAnsi" w:hAnsiTheme="minorHAnsi" w:eastAsiaTheme="minorEastAsia" w:cstheme="minorBidi"/>
      <w:kern w:val="2"/>
      <w:sz w:val="18"/>
      <w:szCs w:val="18"/>
    </w:rPr>
  </w:style>
  <w:style w:type="character" w:customStyle="1" w:styleId="44">
    <w:name w:val="页脚 Char"/>
    <w:basedOn w:val="34"/>
    <w:link w:val="21"/>
    <w:qFormat/>
    <w:uiPriority w:val="99"/>
    <w:rPr>
      <w:rFonts w:asciiTheme="minorHAnsi" w:hAnsiTheme="minorHAnsi" w:eastAsiaTheme="minorEastAsia" w:cstheme="minorBidi"/>
      <w:kern w:val="2"/>
      <w:sz w:val="18"/>
      <w:szCs w:val="18"/>
    </w:rPr>
  </w:style>
  <w:style w:type="character" w:customStyle="1" w:styleId="45">
    <w:name w:val="标题 Char"/>
    <w:basedOn w:val="34"/>
    <w:link w:val="30"/>
    <w:qFormat/>
    <w:uiPriority w:val="10"/>
    <w:rPr>
      <w:rFonts w:ascii="黑体" w:hAnsi="黑体" w:eastAsia="黑体"/>
      <w:sz w:val="48"/>
      <w:szCs w:val="48"/>
    </w:rPr>
  </w:style>
  <w:style w:type="character" w:customStyle="1" w:styleId="46">
    <w:name w:val="标题 6 Char"/>
    <w:basedOn w:val="34"/>
    <w:link w:val="9"/>
    <w:semiHidden/>
    <w:qFormat/>
    <w:uiPriority w:val="9"/>
    <w:rPr>
      <w:rFonts w:ascii="Arial" w:hAnsi="Arial" w:eastAsiaTheme="minorEastAsia" w:cstheme="majorBidi"/>
      <w:b/>
      <w:bCs/>
      <w:snapToGrid w:val="0"/>
      <w:color w:val="2E54A1" w:themeColor="accent1" w:themeShade="BF"/>
      <w:sz w:val="21"/>
      <w:szCs w:val="21"/>
      <w:lang w:eastAsia="en-US"/>
    </w:rPr>
  </w:style>
  <w:style w:type="character" w:customStyle="1" w:styleId="47">
    <w:name w:val="标题 7 Char"/>
    <w:basedOn w:val="34"/>
    <w:link w:val="10"/>
    <w:semiHidden/>
    <w:qFormat/>
    <w:uiPriority w:val="9"/>
    <w:rPr>
      <w:rFonts w:ascii="Arial" w:hAnsi="Arial" w:eastAsiaTheme="minorEastAsia" w:cstheme="majorBidi"/>
      <w:b/>
      <w:bCs/>
      <w:snapToGrid w:val="0"/>
      <w:color w:val="595959" w:themeColor="text1" w:themeTint="A6"/>
      <w:sz w:val="21"/>
      <w:szCs w:val="21"/>
      <w:lang w:eastAsia="en-US"/>
      <w14:textFill>
        <w14:solidFill>
          <w14:schemeClr w14:val="tx1">
            <w14:lumMod w14:val="65000"/>
            <w14:lumOff w14:val="35000"/>
          </w14:schemeClr>
        </w14:solidFill>
      </w14:textFill>
    </w:rPr>
  </w:style>
  <w:style w:type="character" w:customStyle="1" w:styleId="48">
    <w:name w:val="标题 8 Char"/>
    <w:basedOn w:val="34"/>
    <w:link w:val="11"/>
    <w:semiHidden/>
    <w:qFormat/>
    <w:uiPriority w:val="9"/>
    <w:rPr>
      <w:rFonts w:ascii="Arial" w:hAnsi="Arial" w:eastAsiaTheme="minorEastAsia" w:cstheme="majorBidi"/>
      <w:snapToGrid w:val="0"/>
      <w:color w:val="595959" w:themeColor="text1" w:themeTint="A6"/>
      <w:sz w:val="21"/>
      <w:szCs w:val="21"/>
      <w:lang w:eastAsia="en-US"/>
      <w14:textFill>
        <w14:solidFill>
          <w14:schemeClr w14:val="tx1">
            <w14:lumMod w14:val="65000"/>
            <w14:lumOff w14:val="35000"/>
          </w14:schemeClr>
        </w14:solidFill>
      </w14:textFill>
    </w:rPr>
  </w:style>
  <w:style w:type="character" w:customStyle="1" w:styleId="49">
    <w:name w:val="标题 9 Char"/>
    <w:basedOn w:val="34"/>
    <w:link w:val="12"/>
    <w:semiHidden/>
    <w:qFormat/>
    <w:uiPriority w:val="9"/>
    <w:rPr>
      <w:rFonts w:ascii="Arial" w:hAnsi="Arial" w:eastAsiaTheme="majorEastAsia" w:cstheme="majorBidi"/>
      <w:snapToGrid w:val="0"/>
      <w:color w:val="595959" w:themeColor="text1" w:themeTint="A6"/>
      <w:sz w:val="21"/>
      <w:szCs w:val="21"/>
      <w:lang w:eastAsia="en-US"/>
      <w14:textFill>
        <w14:solidFill>
          <w14:schemeClr w14:val="tx1">
            <w14:lumMod w14:val="65000"/>
            <w14:lumOff w14:val="35000"/>
          </w14:schemeClr>
        </w14:solidFill>
      </w14:textFill>
    </w:rPr>
  </w:style>
  <w:style w:type="character" w:customStyle="1" w:styleId="50">
    <w:name w:val="正文文本 Char"/>
    <w:basedOn w:val="34"/>
    <w:link w:val="16"/>
    <w:qFormat/>
    <w:uiPriority w:val="0"/>
    <w:rPr>
      <w:rFonts w:ascii="仿宋" w:hAnsi="仿宋" w:eastAsia="仿宋" w:cs="仿宋"/>
      <w:snapToGrid w:val="0"/>
      <w:color w:val="000000"/>
      <w:sz w:val="32"/>
      <w:szCs w:val="32"/>
      <w:lang w:eastAsia="en-US"/>
    </w:rPr>
  </w:style>
  <w:style w:type="character" w:customStyle="1" w:styleId="51">
    <w:name w:val="副标题 Char"/>
    <w:basedOn w:val="34"/>
    <w:link w:val="25"/>
    <w:qFormat/>
    <w:uiPriority w:val="11"/>
    <w:rPr>
      <w:rFonts w:asciiTheme="majorHAnsi" w:hAnsiTheme="majorHAnsi" w:eastAsiaTheme="majorEastAsia" w:cstheme="majorBidi"/>
      <w:snapToGrid w:val="0"/>
      <w:color w:val="595959" w:themeColor="text1" w:themeTint="A6"/>
      <w:spacing w:val="15"/>
      <w:sz w:val="28"/>
      <w:szCs w:val="28"/>
      <w:lang w:eastAsia="en-US"/>
      <w14:textFill>
        <w14:solidFill>
          <w14:schemeClr w14:val="tx1">
            <w14:lumMod w14:val="65000"/>
            <w14:lumOff w14:val="35000"/>
          </w14:schemeClr>
        </w14:solidFill>
      </w14:textFill>
    </w:rPr>
  </w:style>
  <w:style w:type="character" w:customStyle="1" w:styleId="52">
    <w:name w:val="标题 1 Char"/>
    <w:basedOn w:val="34"/>
    <w:link w:val="2"/>
    <w:qFormat/>
    <w:uiPriority w:val="9"/>
    <w:rPr>
      <w:rFonts w:ascii="黑体" w:hAnsi="黑体" w:eastAsia="黑体" w:cs="仿宋_GB2312"/>
      <w:b/>
      <w:bCs/>
      <w:color w:val="000000" w:themeColor="text1"/>
      <w:sz w:val="40"/>
      <w:szCs w:val="40"/>
      <w14:textFill>
        <w14:solidFill>
          <w14:schemeClr w14:val="tx1"/>
        </w14:solidFill>
      </w14:textFill>
      <w14:ligatures w14:val="standardContextual"/>
    </w:rPr>
  </w:style>
  <w:style w:type="character" w:customStyle="1" w:styleId="53">
    <w:name w:val="标题 2 Char"/>
    <w:basedOn w:val="34"/>
    <w:link w:val="4"/>
    <w:qFormat/>
    <w:uiPriority w:val="9"/>
    <w:rPr>
      <w:rFonts w:ascii="黑体" w:hAnsi="黑体" w:eastAsia="黑体" w:cs="仿宋_GB2312"/>
      <w:sz w:val="40"/>
      <w:szCs w:val="40"/>
    </w:rPr>
  </w:style>
  <w:style w:type="character" w:customStyle="1" w:styleId="54">
    <w:name w:val="标题 3 Char"/>
    <w:basedOn w:val="34"/>
    <w:link w:val="5"/>
    <w:qFormat/>
    <w:uiPriority w:val="9"/>
    <w:rPr>
      <w:rFonts w:ascii="楷体" w:hAnsi="楷体" w:eastAsia="楷体" w:cs="仿宋_GB2312"/>
      <w:b/>
      <w:bCs/>
      <w:sz w:val="32"/>
      <w:szCs w:val="32"/>
    </w:rPr>
  </w:style>
  <w:style w:type="character" w:customStyle="1" w:styleId="55">
    <w:name w:val="标题 4 Char"/>
    <w:basedOn w:val="34"/>
    <w:link w:val="7"/>
    <w:qFormat/>
    <w:uiPriority w:val="9"/>
    <w:rPr>
      <w:rFonts w:ascii="楷体" w:hAnsi="楷体" w:eastAsia="楷体"/>
      <w:sz w:val="32"/>
      <w:szCs w:val="32"/>
    </w:rPr>
  </w:style>
  <w:style w:type="paragraph" w:styleId="56">
    <w:name w:val="Quote"/>
    <w:basedOn w:val="1"/>
    <w:next w:val="1"/>
    <w:link w:val="57"/>
    <w:qFormat/>
    <w:uiPriority w:val="29"/>
    <w:pPr>
      <w:widowControl/>
      <w:kinsoku w:val="0"/>
      <w:autoSpaceDE w:val="0"/>
      <w:autoSpaceDN w:val="0"/>
      <w:adjustRightInd w:val="0"/>
      <w:snapToGrid w:val="0"/>
      <w:spacing w:before="160" w:after="160" w:line="240" w:lineRule="auto"/>
      <w:ind w:firstLine="0" w:firstLineChars="0"/>
      <w:jc w:val="center"/>
      <w:textAlignment w:val="baseline"/>
    </w:pPr>
    <w:rPr>
      <w:rFonts w:ascii="Arial" w:hAnsi="Arial" w:cs="Arial" w:eastAsiaTheme="minorEastAsia"/>
      <w:i/>
      <w:iCs/>
      <w:snapToGrid w:val="0"/>
      <w:color w:val="404040" w:themeColor="text1" w:themeTint="BF"/>
      <w:sz w:val="21"/>
      <w:szCs w:val="21"/>
      <w:lang w:eastAsia="en-US"/>
      <w14:textFill>
        <w14:solidFill>
          <w14:schemeClr w14:val="tx1">
            <w14:lumMod w14:val="75000"/>
            <w14:lumOff w14:val="25000"/>
          </w14:schemeClr>
        </w14:solidFill>
      </w14:textFill>
    </w:rPr>
  </w:style>
  <w:style w:type="character" w:customStyle="1" w:styleId="57">
    <w:name w:val="引用 Char"/>
    <w:basedOn w:val="34"/>
    <w:link w:val="56"/>
    <w:qFormat/>
    <w:uiPriority w:val="29"/>
    <w:rPr>
      <w:rFonts w:ascii="Arial" w:hAnsi="Arial" w:cs="Arial" w:eastAsiaTheme="minorEastAsia"/>
      <w:i/>
      <w:iCs/>
      <w:snapToGrid w:val="0"/>
      <w:color w:val="404040" w:themeColor="text1" w:themeTint="BF"/>
      <w:sz w:val="21"/>
      <w:szCs w:val="21"/>
      <w:lang w:eastAsia="en-US"/>
      <w14:textFill>
        <w14:solidFill>
          <w14:schemeClr w14:val="tx1">
            <w14:lumMod w14:val="75000"/>
            <w14:lumOff w14:val="25000"/>
          </w14:schemeClr>
        </w14:solidFill>
      </w14:textFill>
    </w:rPr>
  </w:style>
  <w:style w:type="character" w:customStyle="1" w:styleId="58">
    <w:name w:val="明显强调1"/>
    <w:basedOn w:val="34"/>
    <w:qFormat/>
    <w:uiPriority w:val="21"/>
    <w:rPr>
      <w:i/>
      <w:iCs/>
      <w:color w:val="2E54A1" w:themeColor="accent1" w:themeShade="BF"/>
    </w:rPr>
  </w:style>
  <w:style w:type="paragraph" w:styleId="59">
    <w:name w:val="Intense Quote"/>
    <w:basedOn w:val="1"/>
    <w:next w:val="1"/>
    <w:link w:val="60"/>
    <w:qFormat/>
    <w:uiPriority w:val="30"/>
    <w:pPr>
      <w:widowControl/>
      <w:pBdr>
        <w:top w:val="single" w:color="2D54A0" w:themeColor="accent1" w:themeShade="BF" w:sz="4" w:space="10"/>
        <w:bottom w:val="single" w:color="2D54A0" w:themeColor="accent1" w:themeShade="BF" w:sz="4" w:space="10"/>
      </w:pBdr>
      <w:kinsoku w:val="0"/>
      <w:autoSpaceDE w:val="0"/>
      <w:autoSpaceDN w:val="0"/>
      <w:adjustRightInd w:val="0"/>
      <w:snapToGrid w:val="0"/>
      <w:spacing w:before="360" w:after="360" w:line="240" w:lineRule="auto"/>
      <w:ind w:left="864" w:right="864" w:firstLine="0" w:firstLineChars="0"/>
      <w:jc w:val="center"/>
      <w:textAlignment w:val="baseline"/>
    </w:pPr>
    <w:rPr>
      <w:rFonts w:ascii="Arial" w:hAnsi="Arial" w:cs="Arial" w:eastAsiaTheme="minorEastAsia"/>
      <w:i/>
      <w:iCs/>
      <w:snapToGrid w:val="0"/>
      <w:color w:val="2E54A1" w:themeColor="accent1" w:themeShade="BF"/>
      <w:sz w:val="21"/>
      <w:szCs w:val="21"/>
      <w:lang w:eastAsia="en-US"/>
    </w:rPr>
  </w:style>
  <w:style w:type="character" w:customStyle="1" w:styleId="60">
    <w:name w:val="明显引用 Char"/>
    <w:basedOn w:val="34"/>
    <w:link w:val="59"/>
    <w:qFormat/>
    <w:uiPriority w:val="30"/>
    <w:rPr>
      <w:rFonts w:ascii="Arial" w:hAnsi="Arial" w:cs="Arial" w:eastAsiaTheme="minorEastAsia"/>
      <w:i/>
      <w:iCs/>
      <w:snapToGrid w:val="0"/>
      <w:color w:val="2E54A1" w:themeColor="accent1" w:themeShade="BF"/>
      <w:sz w:val="21"/>
      <w:szCs w:val="21"/>
      <w:lang w:eastAsia="en-US"/>
    </w:rPr>
  </w:style>
  <w:style w:type="character" w:customStyle="1" w:styleId="61">
    <w:name w:val="明显参考1"/>
    <w:basedOn w:val="34"/>
    <w:qFormat/>
    <w:uiPriority w:val="32"/>
    <w:rPr>
      <w:b/>
      <w:bCs/>
      <w:smallCaps/>
      <w:color w:val="2E54A1" w:themeColor="accent1" w:themeShade="BF"/>
      <w:spacing w:val="5"/>
    </w:rPr>
  </w:style>
  <w:style w:type="paragraph" w:customStyle="1" w:styleId="62">
    <w:name w:val="表内文字"/>
    <w:basedOn w:val="1"/>
    <w:qFormat/>
    <w:uiPriority w:val="0"/>
    <w:pPr>
      <w:widowControl/>
      <w:spacing w:line="280" w:lineRule="exact"/>
      <w:ind w:firstLine="0" w:firstLineChars="0"/>
      <w:jc w:val="center"/>
    </w:pPr>
    <w:rPr>
      <w:rFonts w:ascii="Calibri" w:hAnsi="Arial" w:eastAsia="宋体" w:cs="Arial"/>
      <w:kern w:val="24"/>
      <w:sz w:val="21"/>
      <w:szCs w:val="21"/>
    </w:rPr>
  </w:style>
  <w:style w:type="table" w:customStyle="1" w:styleId="63">
    <w:name w:val="网格型1"/>
    <w:basedOn w:val="3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4">
    <w:name w:val="主标题"/>
    <w:qFormat/>
    <w:uiPriority w:val="0"/>
    <w:pPr>
      <w:spacing w:before="100" w:beforeAutospacing="1" w:after="100" w:afterAutospacing="1" w:line="560" w:lineRule="exact"/>
      <w:jc w:val="center"/>
    </w:pPr>
    <w:rPr>
      <w:rFonts w:ascii="微软雅黑" w:hAnsi="微软雅黑" w:eastAsia="微软雅黑" w:cstheme="minorBidi"/>
      <w:b/>
      <w:bCs/>
      <w:kern w:val="2"/>
      <w:sz w:val="44"/>
      <w:szCs w:val="44"/>
      <w:lang w:val="en-US" w:eastAsia="zh-CN" w:bidi="ar-SA"/>
    </w:rPr>
  </w:style>
  <w:style w:type="character" w:customStyle="1" w:styleId="65">
    <w:name w:val="题注 Char"/>
    <w:link w:val="14"/>
    <w:qFormat/>
    <w:uiPriority w:val="99"/>
    <w:rPr>
      <w:rFonts w:eastAsia="黑体" w:asciiTheme="majorHAnsi" w:hAnsiTheme="majorHAnsi" w:cstheme="majorBidi"/>
      <w:kern w:val="2"/>
      <w:sz w:val="21"/>
      <w:szCs w:val="21"/>
    </w:rPr>
  </w:style>
  <w:style w:type="character" w:customStyle="1" w:styleId="66">
    <w:name w:val="未处理的提及1"/>
    <w:basedOn w:val="34"/>
    <w:semiHidden/>
    <w:unhideWhenUsed/>
    <w:qFormat/>
    <w:uiPriority w:val="99"/>
    <w:rPr>
      <w:color w:val="605E5C"/>
      <w:shd w:val="clear" w:color="auto" w:fill="E1DFDD"/>
    </w:rPr>
  </w:style>
  <w:style w:type="character" w:customStyle="1" w:styleId="67">
    <w:name w:val="未处理的提及2"/>
    <w:basedOn w:val="34"/>
    <w:semiHidden/>
    <w:unhideWhenUsed/>
    <w:qFormat/>
    <w:uiPriority w:val="99"/>
    <w:rPr>
      <w:color w:val="605E5C"/>
      <w:shd w:val="clear" w:color="auto" w:fill="E1DFDD"/>
    </w:rPr>
  </w:style>
  <w:style w:type="character" w:customStyle="1" w:styleId="68">
    <w:name w:val="font11"/>
    <w:basedOn w:val="34"/>
    <w:qFormat/>
    <w:uiPriority w:val="0"/>
    <w:rPr>
      <w:rFonts w:hint="eastAsia" w:ascii="宋体" w:hAnsi="宋体" w:eastAsia="宋体" w:cs="宋体"/>
      <w:color w:val="000000"/>
      <w:sz w:val="20"/>
      <w:szCs w:val="20"/>
      <w:u w:val="none"/>
    </w:rPr>
  </w:style>
  <w:style w:type="character" w:customStyle="1" w:styleId="69">
    <w:name w:val="font21"/>
    <w:basedOn w:val="34"/>
    <w:qFormat/>
    <w:uiPriority w:val="0"/>
    <w:rPr>
      <w:rFonts w:hint="eastAsia" w:ascii="宋体" w:hAnsi="宋体" w:eastAsia="宋体" w:cs="宋体"/>
      <w:color w:val="000000"/>
      <w:sz w:val="20"/>
      <w:szCs w:val="20"/>
      <w:u w:val="none"/>
    </w:rPr>
  </w:style>
  <w:style w:type="character" w:customStyle="1" w:styleId="70">
    <w:name w:val="font51"/>
    <w:basedOn w:val="34"/>
    <w:qFormat/>
    <w:uiPriority w:val="0"/>
    <w:rPr>
      <w:rFonts w:hint="default" w:ascii="Times New Roman" w:hAnsi="Times New Roman" w:cs="Times New Roman"/>
      <w:color w:val="FF0000"/>
      <w:sz w:val="22"/>
      <w:szCs w:val="22"/>
      <w:u w:val="none"/>
    </w:rPr>
  </w:style>
  <w:style w:type="character" w:customStyle="1" w:styleId="71">
    <w:name w:val="font31"/>
    <w:basedOn w:val="34"/>
    <w:qFormat/>
    <w:uiPriority w:val="0"/>
    <w:rPr>
      <w:rFonts w:hint="eastAsia" w:ascii="宋体" w:hAnsi="宋体" w:eastAsia="宋体" w:cs="宋体"/>
      <w:color w:val="FF0000"/>
      <w:sz w:val="21"/>
      <w:szCs w:val="21"/>
      <w:u w:val="none"/>
    </w:rPr>
  </w:style>
  <w:style w:type="character" w:customStyle="1" w:styleId="72">
    <w:name w:val="font71"/>
    <w:basedOn w:val="34"/>
    <w:qFormat/>
    <w:uiPriority w:val="0"/>
    <w:rPr>
      <w:rFonts w:hint="eastAsia" w:ascii="宋体" w:hAnsi="宋体" w:eastAsia="宋体" w:cs="宋体"/>
      <w:color w:val="FF0000"/>
      <w:sz w:val="24"/>
      <w:szCs w:val="24"/>
      <w:u w:val="none"/>
    </w:rPr>
  </w:style>
  <w:style w:type="character" w:customStyle="1" w:styleId="73">
    <w:name w:val="font61"/>
    <w:basedOn w:val="34"/>
    <w:qFormat/>
    <w:uiPriority w:val="0"/>
    <w:rPr>
      <w:rFonts w:hint="default" w:ascii="Times New Roman" w:hAnsi="Times New Roman" w:cs="Times New Roman"/>
      <w:color w:val="FF0000"/>
      <w:sz w:val="22"/>
      <w:szCs w:val="22"/>
      <w:u w:val="none"/>
    </w:rPr>
  </w:style>
  <w:style w:type="character" w:customStyle="1" w:styleId="74">
    <w:name w:val="font81"/>
    <w:basedOn w:val="34"/>
    <w:qFormat/>
    <w:uiPriority w:val="0"/>
    <w:rPr>
      <w:rFonts w:hint="eastAsia" w:ascii="宋体" w:hAnsi="宋体" w:eastAsia="宋体" w:cs="宋体"/>
      <w:color w:val="FF0000"/>
      <w:sz w:val="24"/>
      <w:szCs w:val="24"/>
      <w:u w:val="none"/>
    </w:rPr>
  </w:style>
  <w:style w:type="character" w:customStyle="1" w:styleId="75">
    <w:name w:val="font41"/>
    <w:basedOn w:val="34"/>
    <w:qFormat/>
    <w:uiPriority w:val="0"/>
    <w:rPr>
      <w:rFonts w:hint="default" w:ascii="方正仿宋_GBK" w:hAnsi="方正仿宋_GBK" w:eastAsia="方正仿宋_GBK" w:cs="方正仿宋_GBK"/>
      <w:color w:val="000000"/>
      <w:sz w:val="20"/>
      <w:szCs w:val="20"/>
      <w:u w:val="none"/>
    </w:rPr>
  </w:style>
  <w:style w:type="character" w:customStyle="1" w:styleId="76">
    <w:name w:val="font01"/>
    <w:basedOn w:val="34"/>
    <w:qFormat/>
    <w:uiPriority w:val="0"/>
    <w:rPr>
      <w:rFonts w:hint="eastAsia" w:ascii="宋体" w:hAnsi="宋体" w:eastAsia="宋体" w:cs="宋体"/>
      <w:color w:val="000000"/>
      <w:sz w:val="22"/>
      <w:szCs w:val="22"/>
      <w:u w:val="none"/>
    </w:rPr>
  </w:style>
  <w:style w:type="paragraph" w:customStyle="1" w:styleId="77">
    <w:name w:val="二级标题"/>
    <w:basedOn w:val="1"/>
    <w:next w:val="1"/>
    <w:qFormat/>
    <w:uiPriority w:val="0"/>
    <w:pPr>
      <w:widowControl/>
      <w:numPr>
        <w:ilvl w:val="0"/>
        <w:numId w:val="6"/>
      </w:numPr>
      <w:spacing w:before="100" w:beforeAutospacing="1" w:after="100" w:afterAutospacing="1" w:line="560" w:lineRule="exact"/>
      <w:ind w:left="0" w:firstLine="200"/>
      <w:outlineLvl w:val="2"/>
    </w:pPr>
    <w:rPr>
      <w:rFonts w:ascii="楷体_GB2312" w:hAnsi="等线" w:eastAsia="楷体_GB2312" w:cs="仿宋_GB2312"/>
      <w:kern w:val="2"/>
    </w:rPr>
  </w:style>
  <w:style w:type="paragraph" w:customStyle="1" w:styleId="78">
    <w:name w:val="三级标题"/>
    <w:basedOn w:val="1"/>
    <w:next w:val="1"/>
    <w:qFormat/>
    <w:uiPriority w:val="0"/>
    <w:pPr>
      <w:widowControl/>
      <w:numPr>
        <w:ilvl w:val="0"/>
        <w:numId w:val="7"/>
      </w:numPr>
      <w:spacing w:before="100" w:beforeAutospacing="1" w:after="100" w:afterAutospacing="1" w:line="560" w:lineRule="exact"/>
      <w:ind w:firstLine="0" w:firstLineChars="0"/>
      <w:outlineLvl w:val="3"/>
    </w:pPr>
    <w:rPr>
      <w:rFonts w:ascii="等线" w:hAnsi="等线" w:cs="仿宋_GB2312"/>
      <w:b/>
      <w:bCs/>
      <w:kern w:val="2"/>
    </w:rPr>
  </w:style>
  <w:style w:type="paragraph" w:customStyle="1" w:styleId="79">
    <w:name w:val="修订1"/>
    <w:hidden/>
    <w:unhideWhenUsed/>
    <w:qFormat/>
    <w:uiPriority w:val="99"/>
    <w:rPr>
      <w:rFonts w:ascii="仿宋_GB2312" w:eastAsia="仿宋_GB2312" w:cs="Times New Roman" w:hAnsiTheme="minorHAnsi"/>
      <w:sz w:val="32"/>
      <w:szCs w:val="32"/>
      <w:lang w:val="en-US" w:eastAsia="zh-CN" w:bidi="ar-SA"/>
    </w:rPr>
  </w:style>
  <w:style w:type="character" w:customStyle="1" w:styleId="80">
    <w:name w:val="批注文字 Char"/>
    <w:basedOn w:val="34"/>
    <w:link w:val="15"/>
    <w:qFormat/>
    <w:uiPriority w:val="0"/>
    <w:rPr>
      <w:rFonts w:ascii="仿宋_GB2312" w:eastAsia="仿宋_GB2312" w:hAnsiTheme="minorHAnsi"/>
      <w:sz w:val="32"/>
      <w:szCs w:val="32"/>
    </w:rPr>
  </w:style>
  <w:style w:type="character" w:customStyle="1" w:styleId="81">
    <w:name w:val="批注主题 Char"/>
    <w:basedOn w:val="80"/>
    <w:link w:val="31"/>
    <w:qFormat/>
    <w:uiPriority w:val="0"/>
    <w:rPr>
      <w:rFonts w:ascii="仿宋_GB2312" w:eastAsia="仿宋_GB2312" w:hAnsiTheme="minorHAnsi"/>
      <w:b/>
      <w:bCs/>
      <w:sz w:val="32"/>
      <w:szCs w:val="32"/>
    </w:rPr>
  </w:style>
  <w:style w:type="paragraph" w:customStyle="1" w:styleId="82">
    <w:name w:val="修订2"/>
    <w:hidden/>
    <w:unhideWhenUsed/>
    <w:qFormat/>
    <w:uiPriority w:val="99"/>
    <w:rPr>
      <w:rFonts w:ascii="仿宋_GB2312" w:eastAsia="仿宋_GB2312" w:cs="Times New Roman" w:hAnsiTheme="minorHAnsi"/>
      <w:sz w:val="32"/>
      <w:szCs w:val="32"/>
      <w:lang w:val="en-US" w:eastAsia="zh-CN" w:bidi="ar-SA"/>
    </w:rPr>
  </w:style>
  <w:style w:type="character" w:customStyle="1" w:styleId="83">
    <w:name w:val="日期 Char"/>
    <w:basedOn w:val="34"/>
    <w:link w:val="20"/>
    <w:qFormat/>
    <w:uiPriority w:val="0"/>
    <w:rPr>
      <w:rFonts w:ascii="仿宋_GB2312" w:eastAsia="仿宋_GB2312" w:hAnsiTheme="minorHAnsi"/>
      <w:sz w:val="32"/>
      <w:szCs w:val="32"/>
    </w:rPr>
  </w:style>
  <w:style w:type="paragraph" w:customStyle="1" w:styleId="84">
    <w:name w:val="修订3"/>
    <w:hidden/>
    <w:unhideWhenUsed/>
    <w:qFormat/>
    <w:uiPriority w:val="99"/>
    <w:rPr>
      <w:rFonts w:ascii="仿宋_GB2312" w:eastAsia="仿宋_GB2312" w:cs="Times New Roman" w:hAnsiTheme="minorHAnsi"/>
      <w:sz w:val="32"/>
      <w:szCs w:val="32"/>
      <w:lang w:val="en-US" w:eastAsia="zh-CN" w:bidi="ar-SA"/>
    </w:rPr>
  </w:style>
  <w:style w:type="character" w:customStyle="1" w:styleId="85">
    <w:name w:val="Unresolved Mention"/>
    <w:basedOn w:val="3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FDB3E-40A6-4FE4-8591-8DF575F01B23}">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11</Pages>
  <Words>4140</Words>
  <Characters>4189</Characters>
  <Lines>1</Lines>
  <Paragraphs>8</Paragraphs>
  <TotalTime>3</TotalTime>
  <ScaleCrop>false</ScaleCrop>
  <LinksUpToDate>false</LinksUpToDate>
  <CharactersWithSpaces>4200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2026-09-02T04:37:00Z</dcterms:created>
  <dc:creator>THUPDI</dc:creator>
  <cp:lastModifiedBy>Huihui</cp:lastModifiedBy>
  <cp:lastPrinted>2026-08-15T10:02:00Z</cp:lastPrinted>
  <dcterms:modified xsi:type="dcterms:W3CDTF">2026-09-04T08:51:03Z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ECCA9E42626A43D7B9D0A09EB2E76F04_13</vt:lpwstr>
  </property>
  <property fmtid="{D5CDD505-2E9C-101B-9397-08002B2CF9AE}" pid="4" name="KSOTemplateDocerSaveRecord">
    <vt:lpwstr>eyJoZGlkIjoiMTZjYWVkOWZmODUxOGMxZmFhNWRhNzZiM2QzZGVlMzMiLCJ1c2VySWQiOiIzMDQwMzg5MDgifQ==</vt:lpwstr>
  </property>
  <property fmtid="{D5CDD505-2E9C-101B-9397-08002B2CF9AE}" pid="5" name="CWMe308d8a04c9211f18000418a0000408a">
    <vt:lpwstr>CWMuKsxRLtJeFsmyelVwFSzxdZUF0Nbi0Dr2MazNN72JrrHhBcl9YNAbELVGKSlNPhV7nTY5yqaDOAzangUHTCmZg==</vt:lpwstr>
  </property>
</Properties>
</file>