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2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0"/>
          <w:sz w:val="32"/>
          <w:szCs w:val="32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2026年新一轮找矿突破战略行动劳动竞赛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总结参考模板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8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8"/>
          <w:sz w:val="32"/>
          <w:szCs w:val="32"/>
        </w:rPr>
        <w:t>一、竞赛开展情况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竞赛领导机构设立情况，与工会、人社等部门联合办赛情况，如何组织开展竞赛。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二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本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职工人数及参赛覆盖率。竞赛经费投入情况。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在人才培养、技能提升等方面如何搭建平台，形成了哪些激励机制，通过竞赛实现提拔、晋升的情况如何，特别是地市州、区级、省级及以上荣誉推荐选树情况。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如何开展创新攻关，取得了哪些技术成果、创新成果等，开展了哪些技术交流活动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如何推动创新成果转化、应用和推广。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是否建立劳模和技能专家工作室；是否开展“五小”活动和合理化建议等群众性创新活动。形成哪些具有竞赛特色的典型经验和先进做法。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10"/>
          <w:sz w:val="32"/>
          <w:szCs w:val="32"/>
        </w:rPr>
        <w:t>二、竞赛成果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竞赛成效。竞赛助力哪些重大项目工程取得突破，获得的经济效益、社会效益有哪些，影响力如何，攻关了多少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技术难题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，形成哪些专利、国标、行标，发表哪些论文，获得哪些技术、科技奖项等技术成果。(此部分尽量以数据展示)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创新亮点与突破。竞赛在技术突破、模式创新、差异化价值等方面亮点。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spacing w:val="0"/>
          <w:kern w:val="10"/>
          <w:sz w:val="32"/>
          <w:szCs w:val="32"/>
        </w:rPr>
        <w:t>标志性成果。围绕竞赛内容选取1个最具代表性的标志性成果进行描述，可以是重点工程项目、重要技术成果、具有里程碑意义的重大事件等。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黑体" w:cs="Times New Roman"/>
          <w:spacing w:val="2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8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36C95"/>
    <w:rsid w:val="14536C95"/>
    <w:rsid w:val="5DB3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2026-07-29T08:59:00Z</dcterms:created>
  <dc:creator>        </dc:creator>
  <cp:lastModifiedBy>        </cp:lastModifiedBy>
  <dcterms:modified xsi:type="dcterms:W3CDTF">2026-07-29T09:03:42Z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11354CC396E44510AA597F61324F83FD</vt:lpwstr>
  </property>
</Properties>
</file>