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新疆维吾尔自治区第一测绘院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2020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hint="eastAsia" w:ascii="黑体" w:hAnsi="黑体" w:eastAsia="黑体"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目录</w:t>
      </w:r>
    </w:p>
    <w:p>
      <w:pPr>
        <w:widowControl/>
        <w:spacing w:line="500" w:lineRule="exact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 新疆维吾尔自治区第一测绘院概况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新疆维吾尔自治区第一测绘院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年部门预算公开表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新疆维吾尔自治区第一测绘院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年部门预算情况说明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年收支预算情况的总体说明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年收入预算情况说明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年支出预算情况说明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年一般公共预算当年拨款情况说明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年一般公共预算基本支出情况说明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年项目支出情况说明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年一般公共预算“三公”经费预算情况说明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kern w:val="0"/>
          <w:sz w:val="32"/>
          <w:szCs w:val="32"/>
        </w:rPr>
        <w:t>年政府性基金预算拨款情况说明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十、关于新疆维吾尔自治区第一测绘院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2020年</w:t>
      </w:r>
      <w:r>
        <w:rPr>
          <w:rFonts w:hint="eastAsia" w:ascii="仿宋_GB2312" w:hAnsi="宋体" w:eastAsia="仿宋_GB2312"/>
          <w:kern w:val="0"/>
          <w:sz w:val="32"/>
          <w:szCs w:val="32"/>
        </w:rPr>
        <w:t>其他重要事项的情况说明</w:t>
      </w:r>
    </w:p>
    <w:p>
      <w:pPr>
        <w:widowControl/>
        <w:spacing w:line="460" w:lineRule="exac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  新疆维吾尔自治区第一测绘院单位概况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我院是自治区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自然资源厅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下属的一个具有独立法人资格的甲级测绘事业单位，并通过了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GB/T19001-2016/ISO9001：2015国际质量管理体系认证。主要从事大地测量：卫星定位测量、水准测量、三角测量、大地测量与数据处理；摄影测量与遥感：摄影测量与遥感外业、摄影测量与遥感内业；测绘航空摄影；地理信息系统工程；地图编制；工程测量；不动产测绘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服务对象是基本建设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相关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部门和社会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上有相关专业需求的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各方面用户，主要承担国家和新疆基础测绘以及公益性测绘任务，为自治区经济建设和发展提供及时可靠的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自然资源信息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保障服务。</w:t>
      </w: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我院无下属预算单位,内设六科一室（人事教育科、财务科、生产技术科、质量管理科、经营管理科、离退休人员管理科、办公室）及六个测绘生产分院、后勤服务中心、影像获取中心、制图室。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我院事业编制196人，实有人数1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人，其中：在职人员18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2人，减少2人；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离休2人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退休人员纳入昌吉州社保局，退休人员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人，增减变动：退休死亡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人。</w:t>
      </w:r>
    </w:p>
    <w:p>
      <w:pPr>
        <w:widowControl/>
        <w:spacing w:before="120" w:beforeLines="50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both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第二部分  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kern w:val="0"/>
          <w:sz w:val="32"/>
          <w:szCs w:val="32"/>
        </w:rPr>
        <w:t>年部门预算公开表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4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2745.00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2745.00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1500.00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用事业基金弥补收支差额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3341.25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单位上年结余（不包括国库集中支付额度结余）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4245.00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填报部门：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kern w:val="0"/>
          <w:sz w:val="24"/>
        </w:rPr>
        <w:t xml:space="preserve">    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4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417"/>
        <w:gridCol w:w="417"/>
        <w:gridCol w:w="1752"/>
        <w:gridCol w:w="820"/>
        <w:gridCol w:w="916"/>
        <w:gridCol w:w="680"/>
        <w:gridCol w:w="680"/>
        <w:gridCol w:w="680"/>
        <w:gridCol w:w="741"/>
        <w:gridCol w:w="680"/>
        <w:gridCol w:w="680"/>
        <w:gridCol w:w="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7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单位上年结余（不包括国库集中支付额度结余）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行政事业单位养老支出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事业单位离退休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机关事业单位基本养老保险缴费支出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卫生健康支出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行政事业单位医疗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事业单位医疗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公务员医疗补助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自然资源海洋气象等支出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自然资源事物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事业运行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其他自然资源事务支出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1500.00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住房保障支出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住房改革支出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住房公积金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4245.00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2745.00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1500.00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4"/>
        <w:tblW w:w="92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00"/>
        <w:gridCol w:w="399"/>
        <w:gridCol w:w="2588"/>
        <w:gridCol w:w="1847"/>
        <w:gridCol w:w="1848"/>
        <w:gridCol w:w="17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4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社会保障和就业支出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行政事业单位养老支出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事业单位离退休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机关事业单位基本养老保险缴费支出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卫生健康支出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行政事业单位医疗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公务员医疗补助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自然资源海洋气象等支出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自然资源事物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事业运行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其他自然资源事务支出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  <w:t>住房保障支出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住房改革支出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住房公积金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4245.00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2684.84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1560.16</w:t>
            </w:r>
          </w:p>
        </w:tc>
      </w:tr>
    </w:tbl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/>
        <w:jc w:val="left"/>
        <w:outlineLvl w:val="1"/>
        <w:rPr>
          <w:rFonts w:ascii="仿宋_GB2312" w:hAnsi="宋体" w:eastAsia="仿宋_GB2312"/>
          <w:kern w:val="0"/>
          <w:sz w:val="24"/>
          <w:szCs w:val="24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_GB2312" w:hAnsi="宋体" w:eastAsia="仿宋_GB2312"/>
          <w:kern w:val="0"/>
          <w:sz w:val="24"/>
          <w:szCs w:val="24"/>
        </w:rPr>
        <w:t>单位：万元</w:t>
      </w:r>
    </w:p>
    <w:tbl>
      <w:tblPr>
        <w:tblStyle w:val="4"/>
        <w:tblW w:w="922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30"/>
        <w:gridCol w:w="2250"/>
        <w:gridCol w:w="1294"/>
        <w:gridCol w:w="1418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3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493.73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229.85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1841.25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1841.25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23 国有资本经营预算支出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31 债务还本支出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32 债务付息支出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债务发行费支出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小     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         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230 转移性支出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2745.00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4"/>
        <w:tblW w:w="91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2"/>
        <w:gridCol w:w="417"/>
        <w:gridCol w:w="2510"/>
        <w:gridCol w:w="1684"/>
        <w:gridCol w:w="1842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5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493.73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事业单位离退休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253.50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eastAsia="zh-CN"/>
              </w:rPr>
              <w:t>机关事业单位基本养老保险缴费支出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240.23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卫生健康支出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行政事业单位医疗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229.85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事业单位医疗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129.29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公务员医疗补助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自然资源海洋气象等支出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自然资源事物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3341.25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事业运行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1781.09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其他自然资源事务支出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1560.16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221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住房公积金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180.17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2745.00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2684.84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50" w:firstLineChars="3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60.16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4"/>
        <w:tblW w:w="915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5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  <w:lang w:val="en-US" w:eastAsia="zh-CN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6"/>
                <w:szCs w:val="16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778.8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778.8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169.06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169.06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64.9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369.52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369.52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43.1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离休费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医疗费补助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201.38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201.38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其他对个人和家庭的补助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取暖费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物业管理费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福利费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其他交通费用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5.52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2684.84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2231.12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200.22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4"/>
        <w:tblW w:w="92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435"/>
        <w:gridCol w:w="435"/>
        <w:gridCol w:w="900"/>
        <w:gridCol w:w="795"/>
        <w:gridCol w:w="840"/>
        <w:gridCol w:w="368"/>
        <w:gridCol w:w="817"/>
        <w:gridCol w:w="570"/>
        <w:gridCol w:w="375"/>
        <w:gridCol w:w="334"/>
        <w:gridCol w:w="489"/>
        <w:gridCol w:w="746"/>
        <w:gridCol w:w="489"/>
        <w:gridCol w:w="532"/>
        <w:gridCol w:w="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2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新疆维吾尔自治区第一测绘院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68" w:type="dxa"/>
            <w:gridSpan w:val="3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900" w:type="dxa"/>
            <w:vMerge w:val="restart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795" w:type="dxa"/>
            <w:vMerge w:val="restart"/>
            <w:noWrap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36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8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33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8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8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5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663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98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84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自然资源事物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84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房屋执收成本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自治区测量标志迁建项目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52.16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75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4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220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01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其他自然资源事务支出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经营收入成本性支出项目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1500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1330.00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160</w:t>
            </w:r>
          </w:p>
        </w:tc>
        <w:tc>
          <w:tcPr>
            <w:tcW w:w="375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49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1560.16</w:t>
            </w:r>
          </w:p>
        </w:tc>
        <w:tc>
          <w:tcPr>
            <w:tcW w:w="368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1390.16</w:t>
            </w:r>
          </w:p>
        </w:tc>
        <w:tc>
          <w:tcPr>
            <w:tcW w:w="57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160</w:t>
            </w:r>
          </w:p>
        </w:tc>
        <w:tc>
          <w:tcPr>
            <w:tcW w:w="375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746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489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532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</w:rPr>
            </w:pPr>
          </w:p>
        </w:tc>
        <w:tc>
          <w:tcPr>
            <w:tcW w:w="663" w:type="dxa"/>
            <w:noWrap w:val="0"/>
            <w:vAlign w:val="bottom"/>
          </w:tcPr>
          <w:p>
            <w:pPr>
              <w:widowControl/>
              <w:jc w:val="left"/>
              <w:outlineLvl w:val="1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单位：万元</w:t>
      </w:r>
    </w:p>
    <w:tbl>
      <w:tblPr>
        <w:tblStyle w:val="4"/>
        <w:tblW w:w="913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305"/>
        <w:gridCol w:w="1305"/>
        <w:gridCol w:w="1305"/>
        <w:gridCol w:w="1305"/>
        <w:gridCol w:w="1305"/>
        <w:gridCol w:w="13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因公出国（境）费</w:t>
            </w:r>
          </w:p>
        </w:tc>
        <w:tc>
          <w:tcPr>
            <w:tcW w:w="3915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公务用车购置及运行费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公务接待费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公务用车购置费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公务用车运行费</w:t>
            </w: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18.02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kern w:val="0"/>
          <w:sz w:val="24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编制单位： 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新疆维吾尔自治区第一测绘院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kern w:val="0"/>
          <w:sz w:val="24"/>
        </w:rPr>
        <w:t xml:space="preserve">   单位：万元</w:t>
      </w:r>
    </w:p>
    <w:tbl>
      <w:tblPr>
        <w:tblStyle w:val="4"/>
        <w:tblW w:w="908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57"/>
        <w:gridCol w:w="457"/>
        <w:gridCol w:w="2896"/>
        <w:gridCol w:w="155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  <w:sectPr>
          <w:footerReference r:id="rId5" w:type="default"/>
          <w:footerReference r:id="rId6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备注：无政府性基金预算支出。</w:t>
      </w:r>
    </w:p>
    <w:p>
      <w:pPr>
        <w:widowControl/>
        <w:spacing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第三部分  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/>
          <w:kern w:val="0"/>
          <w:sz w:val="32"/>
          <w:szCs w:val="32"/>
        </w:rPr>
        <w:t>年部门预算情况说明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年收支预算情况的总体说明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年所有收入和支出均纳入部门预算管理。收支总预算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事业单位经营收入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支出预算包括：社会保障和就业支出493.73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医疗卫生与计划生育支出229.85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国土资源气象等支出3341.25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住房保障支出180.17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年收入预算情况说明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64.66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1872.26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1551.55万元；②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217万元；③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少数民族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120万元。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政府性基金预算未安排。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事业单位经营收入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预算市场任务逐年缩减。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 xml:space="preserve">           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年支出预算情况说明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年支出预算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2684.84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63.25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56.13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。          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1560.16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36.75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428.39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；③增加了经营支出项目。</w:t>
      </w:r>
    </w:p>
    <w:p>
      <w:pPr>
        <w:widowControl/>
        <w:spacing w:line="520" w:lineRule="exact"/>
        <w:ind w:firstLine="64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</w:t>
      </w:r>
      <w:r>
        <w:rPr>
          <w:rFonts w:hint="eastAsia" w:ascii="黑体" w:hAnsi="宋体" w:eastAsia="黑体" w:cs="宋体"/>
          <w:kern w:val="0"/>
          <w:sz w:val="32"/>
          <w:szCs w:val="32"/>
        </w:rPr>
        <w:t>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年财政拨款收支预算情况的总体说明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收入全部为一般公共预算拨款，无政府性基金预算拨款。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支出预算包括：社会保障和就业支出493.73万元，主要用于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职工养老保险等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。医疗卫生与计划生育支出229.85万元，主要用于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缴纳职工医疗保险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。国土资源气象等支出1841.25万元，主要用于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人员工资发放及单位日常公用经费开支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。住房保障支出180.17万元，主要用于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缴纳住房公积金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年一般公共预算当年拨款情况说明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（一）一般公用预算当年拨款规模变化情况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年一般公共预算拨款基本支出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2684.84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万元，比上年执行数减少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562.48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17.32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自治区2019年边远地区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少数民族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地区基础测绘专项经费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1.一般公共服务（类）493.73万元，占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2.医疗卫生与计划生育支出229.85万元，占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3.国土资源气象等支出1841.25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4.住房保障支出180.17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1.社会保障和就业支出（类）行政事业单位养老支出（款）事业单位离退休（项）: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年预算数为253.5万元，比上年执行数减少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16.77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。     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2.社会保障和就业支出（类）行政事业单位养老支出（款）机关事业单位基本养老保险缴费支出（项）: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年预算数为240.23万元，比上年执行数减少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卫生健康支出（类）行政事业单位医疗（款）事业单位医疗（项）: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年预算数为129.29万元，比上年执行数增加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0.85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卫生健康支出（类）行政事业单位医疗（款）公务员医疗补助（项）: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年预算数为100.56万元，比上年执行数增加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自然资源海洋气象等支出（类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自然资源事物（款）事业运行（项）: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年预算数为1781.09万元，比上年执行数减少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925.55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①自治区1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自治区地理国情监测和126个卫星定位连续运行基准站运行经费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少数民族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自然资源海洋气象等支出（类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自然资源事物（款）其他自然资源事务支出（项）: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年预算数为60.16万元，比上年执行数减少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7.16，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经营支出缴纳增值税变动。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住房保障支出（类）住房改革支出（款）住房公积金（项）: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年预算数为180.17万元，比上年执行数增加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6.62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3.81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%，主要原因是：人员调资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、职称变动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年一般公共预算基本支出情况说明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年一般公共预算基本支出2684.84万元， 其中：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人员经费2231.12万元，主要包括：基本工资778.8万元、津贴补贴169.06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、奖金64.9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、绩效工资488.7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职工基本医疗保险缴费369.52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公务员医疗补助缴费100.56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万元、其他社会保障缴费36.31万元、住房公积金180.17万元、其他工资福利支出43.1万元、离休费26.95万元、医疗费补助201.38万元、其他对个人和家庭的补助25.17万元。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公用经费200.22万元，主要包括：办公费9.89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、印刷费0.95万元、水费4万元、电费7.5万元、邮电费11.13万元、取暖费50万元、物业管理费29万元、差旅费16.24万元、培训费0.95万元、公务接待费1.52万元、工会经费18.96万元、福利费17.06万元、公务用车运行维护费16.5万元、其他交通费用11万元、其他商品和服务支出5.52万元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年项目支出情况说明</w:t>
      </w:r>
    </w:p>
    <w:p>
      <w:pPr>
        <w:widowControl/>
        <w:spacing w:line="520" w:lineRule="exact"/>
        <w:ind w:firstLine="642"/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情况一：（项目支出、专项业务费按下列内容说明）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项目名称：房屋执收成本。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设立的政策依据：依据2007年签订的《房屋租赁合同》，2020年合同到期，根据2019年院党委（扩大）会议 “我院院落为老旧小区,应维稳需要，消除安全隐患,故申请修缮资金。其中院办公楼年代久远，楼内水、电、暖及卫生间等设施已陈旧老化，为美化办公环境，提高职工满意度，急需修缮；因宿舍年代较久, 楼内水、电、暖、屋顶防水等设施以陈旧老化，存在安全隐患，急需修缮维护。”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资金分配情况：房屋维修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资金执行时间：2020年1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10月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（二）项目名称：经营收入成本性支出项目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依照《中华人民共和国测绘法》规定，测绘事业是经济建设、国防建设、社会发展的基础性事业。测绘工作在自治区国民经济和社会发展中具有的前期性、基础性的重要保障作用。通过市场竞争性谈判、招投标等程序取得能源、交通、通讯、工业、城乡规划、水利建设和农业开发、土地管理、文物管理、环境保护及维稳等领域经营项目，生产、开发各类数字化地图产品及地理信息系统等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1500万元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资金分配情况：测量标志成本及外业作业成本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2020年1-12月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（三）项目名称：自治区测量标志迁建项目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设立的政策依据：《中华人民共和国测绘法》（2017修订）第七章“测量标志保护”第四十三条规定；《中华人民共和国测量标志保护条例》（中华人民共和国国务院令第203号）有关条款；2019年4月25日，阿勒泰地区自然资源局向自治区自然资源厅上报《关于拆迁布尔津县水准点Ⅱ冲布11和Ⅱ冲布5的报告》，申请因S232省道改扩建而迁建两个国家二等水准点，需要对二等水准点Ⅱ冲布5和Ⅱ冲布11进行测量标志迁建；2019年10月30日博州自然资源局向自治区自然资源厅上报《关于G3018精河至阿拉山口高速公路建设迁移国家水准点的请示》，申请因G3018高速公路改扩建而迁建一个国家一等水准点Ⅰ乌五71；2019年10月18日和田地区自然资源局向自治区自然资源厅上报《关于迁移国家永久性测量标志（Ⅰ叶休44）的请示》，申请墨玉县城市规划建设需要而迁建一个国家一等水准点Ⅰ叶休44。水准点拆迁补偿款52.16万元，其中27.94万元已于2019年11月全额上缴财政国库，24.22万元近期正在办理中并于后期全额上缴国库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预算安排规模：52.16万元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项目承担单位：新疆维吾尔自治区第一测绘院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资金分配情况：外业作业成本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资金执行时间：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2020年3-10月</w:t>
      </w:r>
    </w:p>
    <w:p>
      <w:pPr>
        <w:widowControl/>
        <w:spacing w:line="52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年一般公共预算“三公”经费预算情况说明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年“三公”经费财政拨款预算数为18.02万元，其中：因公出国（境）费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万元，公务用车购置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万元，公务用车运行费16.5万元，公务接待费1.52万元。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年“三公”经费财政拨款预算比上年减少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万元，其中：因公出国（境）费为0，未安排预算；公务用车购置费为0，未安排预算。公务用车运行费减少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万元，主要原因是本着厉行节约原则单位压减支出；公务接待费减少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万元，主要原因是本着厉行节约原则单位压减支出。</w:t>
      </w:r>
    </w:p>
    <w:p>
      <w:pPr>
        <w:widowControl/>
        <w:spacing w:line="52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九、关于新疆维吾尔自治区第一测绘院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年政府性基金预算拨款情况说明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新疆维吾尔自治区第一测绘院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年没有使用政府性基金预算拨款安排的支出，政府性基金预算支出情况表为空表。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年，新疆维吾尔自治区第一测绘院的事业运行经费财政拨款预算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2745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万元，比上年预算减少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1872.26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40.55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%。主要原因是：减少①自治区1：1万比例尺地形图基础测绘项目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自治区地理国情监测和126个卫星定位连续运行基准站运行经费，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自治区2019年边远地区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少数民族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地区基础测绘专项经费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2020年，新疆维吾尔自治区第一测绘院政府采购预算0  万元，其中：政府采购货物预算0万元，政府采购工程预算0万元，政府采购服务预算0万元。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2020年度本部门面向中小企业预留政府采购项目预算金额0万元，其中：面向小微企业预留政府采购项目预算金额0万元。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截至2019年底，新疆维吾尔自治区第一测绘院占用使用国有资产总体情况为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1.房屋7278平方米，价值1274.28万元。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2.车辆25辆，价值543.08万元；其中：一般公务用车  0辆，价值0万元；执法执勤用车0辆，价值0万元；其他车辆25辆，价值543.08万元。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3.办公家具价值61.04万元。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4.其他资产价值3768.53万元。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单位价值50万元以上大型设备10台（套），单位价值100万元以上大型设备3台（套）。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2020年部门预算未安排购置车辆经费，安排购置50万元以上大型设备0台（套），单位价值100万元以上大型设备0台（套）。</w:t>
      </w:r>
    </w:p>
    <w:p>
      <w:pPr>
        <w:widowControl/>
        <w:spacing w:line="52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2020年度，本年度实行绩效管理的项目3个，涉及预算金额1560.16万元。具体情况见下表（按项目分别填报）：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 w:start="24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86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260"/>
        <w:gridCol w:w="1260"/>
        <w:gridCol w:w="2520"/>
        <w:gridCol w:w="1260"/>
        <w:gridCol w:w="1260"/>
        <w:gridCol w:w="1260"/>
        <w:gridCol w:w="25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房屋执收成本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8.00 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8.00 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6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施项目实施单位，完成办公楼水电暖及卫生间维修、职工宿舍附属设施维修项目；全程做好监督管理及评估考核工作；修缮后的院落保持和提高办公楼的完好程度与使用功能，尤其是卫生间整体修缮，老旧电线规整增容，卫生间按照“能改则改、实事求是”的原则通过平面分割等方式进行改造；实现受益职工满意度达100%以上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办公楼水电暖及卫生间维修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职工宿舍附属设施维修项目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办公区域应修尽修率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项目消防安全合格率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项目一次验收合格率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完工验收时间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2010年12月31日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项目经费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职工受益数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消防安全事故降低率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69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245"/>
        <w:gridCol w:w="1245"/>
        <w:gridCol w:w="1245"/>
        <w:gridCol w:w="2490"/>
        <w:gridCol w:w="1245"/>
        <w:gridCol w:w="1245"/>
        <w:gridCol w:w="1245"/>
        <w:gridCol w:w="249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4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自治区测量标志迁建项目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52.16 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52.16 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450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厅任务安排，2020年完成全疆范围内因道路改扩建而需要迁建的高等级测量控制点4个，为国民经济建设各个部门提供服务，如地形测图、工程测量、勘探矿藏，进行地质科学研究，观测地壳沉降、位移扭曲，进行地震预报科学研究，土地资源详查等都需要使用精确、完好的测量标志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道路改扩建而迁建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二等水准点埋石合格率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二等水准、加密重力观测合格率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水准计算合格率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标志迁建项目完成时间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迁建成本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52.16万元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国土空间治理能力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对政务工作的辅助决策作用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对测绘地理信息成果宣传作用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项目支出绩效目标表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4"/>
        <w:tblW w:w="1386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260"/>
        <w:gridCol w:w="1260"/>
        <w:gridCol w:w="2520"/>
        <w:gridCol w:w="1260"/>
        <w:gridCol w:w="1260"/>
        <w:gridCol w:w="1260"/>
        <w:gridCol w:w="25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新疆维吾尔自治区第一测绘院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项目名称 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自经营收入成本性支出项目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1,500.00 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1,500.00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126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通过市场竞争性谈判、招投标等程序取得能源、交通、通讯、工业、城乡规划、水利建设和农业开发、土地管理、文物管理、环境保护及维稳等领域经营项目，生产、开发各类数字化地图产品及地理信息系统等。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项目完成指标　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　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完成经营项目数量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项目通过验收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项目完成时间控制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2020年12月31日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确保成本在可控范围内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＜1500万元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促进区域经济发展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服务领域广泛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提供服务保障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经济社会发展影响力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长期持续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服务对象的满意程度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425" w:num="1"/>
          <w:docGrid w:type="lines" w:linePitch="312" w:charSpace="0"/>
        </w:sectPr>
      </w:pPr>
    </w:p>
    <w:p>
      <w:pPr>
        <w:widowControl/>
        <w:spacing w:line="52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20" w:lineRule="exact"/>
        <w:ind w:firstLine="1600" w:firstLineChars="5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无。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</w:t>
      </w:r>
    </w:p>
    <w:p>
      <w:pPr>
        <w:widowControl/>
        <w:spacing w:before="217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部门支出预算的组成部分，是自治区本级部门为完成其特定的行政任务或事业发展目标，在基本支出预算之外编制的年度项目支出计划。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新疆维吾尔自治区第一测绘院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2020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01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p>
      <w:pPr>
        <w:spacing w:line="640" w:lineRule="exact"/>
        <w:ind w:firstLine="280" w:firstLineChars="100"/>
        <w:rPr>
          <w:rFonts w:hint="eastAsia" w:ascii="仿宋_GB2312" w:eastAsia="仿宋_GB2312"/>
          <w:sz w:val="28"/>
          <w:szCs w:val="28"/>
        </w:rPr>
      </w:pPr>
    </w:p>
    <w:p/>
    <w:sectPr>
      <w:footerReference r:id="rId7" w:type="default"/>
      <w:footerReference r:id="rId8" w:type="even"/>
      <w:pgSz w:w="11906" w:h="16838"/>
      <w:pgMar w:top="2041" w:right="1276" w:bottom="2041" w:left="1276" w:header="851" w:footer="1814" w:gutter="0"/>
      <w:pgNumType w:fmt="numberInDash"/>
      <w:cols w:space="425" w:num="1"/>
      <w:docGrid w:type="lines" w:linePitch="43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13 -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13 -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631" w:y="37"/>
      <w:jc w:val="right"/>
      <w:rPr>
        <w:rStyle w:val="7"/>
        <w:rFonts w:hint="eastAsia" w:ascii="宋体" w:hAnsi="宋体" w:eastAsia="宋体"/>
        <w:sz w:val="28"/>
      </w:rPr>
    </w:pPr>
    <w:r>
      <w:rPr>
        <w:rStyle w:val="7"/>
        <w:rFonts w:ascii="宋体" w:hAnsi="宋体" w:eastAsia="宋体"/>
        <w:sz w:val="28"/>
      </w:rPr>
      <w:fldChar w:fldCharType="begin"/>
    </w:r>
    <w:r>
      <w:rPr>
        <w:rStyle w:val="7"/>
        <w:rFonts w:ascii="宋体" w:hAnsi="宋体" w:eastAsia="宋体"/>
        <w:sz w:val="28"/>
      </w:rPr>
      <w:instrText xml:space="preserve"> PAGE </w:instrText>
    </w:r>
    <w:r>
      <w:rPr>
        <w:rStyle w:val="7"/>
        <w:rFonts w:ascii="宋体" w:hAnsi="宋体" w:eastAsia="宋体"/>
        <w:sz w:val="28"/>
      </w:rPr>
      <w:fldChar w:fldCharType="separate"/>
    </w:r>
    <w:r>
      <w:rPr>
        <w:rStyle w:val="7"/>
        <w:rFonts w:ascii="宋体" w:hAnsi="宋体" w:eastAsia="宋体"/>
        <w:sz w:val="28"/>
      </w:rPr>
      <w:t>- 33 -</w:t>
    </w:r>
    <w:r>
      <w:rPr>
        <w:rStyle w:val="7"/>
        <w:rFonts w:ascii="宋体" w:hAnsi="宋体" w:eastAsia="宋体"/>
        <w:sz w:val="28"/>
      </w:rPr>
      <w:fldChar w:fldCharType="end"/>
    </w:r>
    <w:r>
      <w:rPr>
        <w:rStyle w:val="7"/>
        <w:rFonts w:hint="eastAsia" w:ascii="宋体" w:hAnsi="宋体" w:eastAsia="宋体"/>
        <w:sz w:val="28"/>
      </w:rPr>
      <w:t xml:space="preserve"> </w:t>
    </w:r>
  </w:p>
  <w:p>
    <w:pPr>
      <w:pStyle w:val="2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756" w:y="37"/>
      <w:rPr>
        <w:rStyle w:val="7"/>
        <w:rFonts w:ascii="宋体" w:hAnsi="宋体" w:eastAsia="宋体"/>
        <w:sz w:val="28"/>
        <w:szCs w:val="28"/>
      </w:rPr>
    </w:pPr>
    <w:r>
      <w:rPr>
        <w:rStyle w:val="7"/>
        <w:rFonts w:ascii="宋体" w:hAnsi="宋体" w:eastAsia="宋体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Style w:val="7"/>
        <w:rFonts w:ascii="宋体" w:hAnsi="宋体" w:eastAsia="宋体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- 34 -</w:t>
    </w:r>
    <w:r>
      <w:rPr>
        <w:rStyle w:val="7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MTVkYzU0ZDg0NjQ1OWU0ZDM3MDI5NmQ1Y2JkMWUifQ=="/>
  </w:docVars>
  <w:rsids>
    <w:rsidRoot w:val="00000000"/>
    <w:rsid w:val="02371DB4"/>
    <w:rsid w:val="023E4732"/>
    <w:rsid w:val="029B227F"/>
    <w:rsid w:val="02D024E8"/>
    <w:rsid w:val="02FC04C9"/>
    <w:rsid w:val="04176452"/>
    <w:rsid w:val="045C53B2"/>
    <w:rsid w:val="054C6653"/>
    <w:rsid w:val="05593E5C"/>
    <w:rsid w:val="05AB2D29"/>
    <w:rsid w:val="06A410C7"/>
    <w:rsid w:val="0706719A"/>
    <w:rsid w:val="0760127B"/>
    <w:rsid w:val="07A26ADB"/>
    <w:rsid w:val="08053F8D"/>
    <w:rsid w:val="08305B21"/>
    <w:rsid w:val="08AB31B7"/>
    <w:rsid w:val="08F40116"/>
    <w:rsid w:val="08F6369B"/>
    <w:rsid w:val="09694C50"/>
    <w:rsid w:val="09A3485C"/>
    <w:rsid w:val="09EB3DE1"/>
    <w:rsid w:val="0A5109E4"/>
    <w:rsid w:val="0B0059E2"/>
    <w:rsid w:val="0B091DE6"/>
    <w:rsid w:val="0BEE6EA6"/>
    <w:rsid w:val="0C090916"/>
    <w:rsid w:val="0C0E0609"/>
    <w:rsid w:val="0C12472E"/>
    <w:rsid w:val="0C5D08B7"/>
    <w:rsid w:val="0D31571E"/>
    <w:rsid w:val="0E793718"/>
    <w:rsid w:val="0EE3168C"/>
    <w:rsid w:val="0F0650EB"/>
    <w:rsid w:val="0F550071"/>
    <w:rsid w:val="10051365"/>
    <w:rsid w:val="109512D8"/>
    <w:rsid w:val="110260B5"/>
    <w:rsid w:val="1169638B"/>
    <w:rsid w:val="117A77D2"/>
    <w:rsid w:val="11E14093"/>
    <w:rsid w:val="1396753D"/>
    <w:rsid w:val="13F804C6"/>
    <w:rsid w:val="1437637B"/>
    <w:rsid w:val="14640CCE"/>
    <w:rsid w:val="14926537"/>
    <w:rsid w:val="15103CF9"/>
    <w:rsid w:val="151A5DD3"/>
    <w:rsid w:val="154B13FB"/>
    <w:rsid w:val="15987854"/>
    <w:rsid w:val="1684102B"/>
    <w:rsid w:val="16A47658"/>
    <w:rsid w:val="1713576D"/>
    <w:rsid w:val="17FA6D0D"/>
    <w:rsid w:val="18B70B78"/>
    <w:rsid w:val="19146F59"/>
    <w:rsid w:val="196F5AD3"/>
    <w:rsid w:val="19EB7857"/>
    <w:rsid w:val="19F245C8"/>
    <w:rsid w:val="1A5F705F"/>
    <w:rsid w:val="1A6E2AE5"/>
    <w:rsid w:val="1A857BC5"/>
    <w:rsid w:val="1ABA5EC8"/>
    <w:rsid w:val="1AE96AB9"/>
    <w:rsid w:val="1C131EF4"/>
    <w:rsid w:val="1D8A1F69"/>
    <w:rsid w:val="1E46172A"/>
    <w:rsid w:val="1F9D0DDA"/>
    <w:rsid w:val="1FFC6175"/>
    <w:rsid w:val="208843B2"/>
    <w:rsid w:val="21407F17"/>
    <w:rsid w:val="22A14654"/>
    <w:rsid w:val="22B84B85"/>
    <w:rsid w:val="231C6E2E"/>
    <w:rsid w:val="238A5CAB"/>
    <w:rsid w:val="23B26B8C"/>
    <w:rsid w:val="24914AFC"/>
    <w:rsid w:val="24A85A61"/>
    <w:rsid w:val="2520348B"/>
    <w:rsid w:val="259446B1"/>
    <w:rsid w:val="25D72584"/>
    <w:rsid w:val="25F23218"/>
    <w:rsid w:val="25F43628"/>
    <w:rsid w:val="26375063"/>
    <w:rsid w:val="2639483C"/>
    <w:rsid w:val="283B4A87"/>
    <w:rsid w:val="29B27D90"/>
    <w:rsid w:val="2A48295A"/>
    <w:rsid w:val="2A8B4016"/>
    <w:rsid w:val="2B5C0645"/>
    <w:rsid w:val="2B6E214B"/>
    <w:rsid w:val="2B845610"/>
    <w:rsid w:val="2C2E74F4"/>
    <w:rsid w:val="2E110AB4"/>
    <w:rsid w:val="2E2348E1"/>
    <w:rsid w:val="2E9B6ADA"/>
    <w:rsid w:val="2EE369CD"/>
    <w:rsid w:val="2F871146"/>
    <w:rsid w:val="3025022A"/>
    <w:rsid w:val="30C20230"/>
    <w:rsid w:val="319C451B"/>
    <w:rsid w:val="31D15227"/>
    <w:rsid w:val="326903EC"/>
    <w:rsid w:val="32BF2C8B"/>
    <w:rsid w:val="33127D3D"/>
    <w:rsid w:val="3351603D"/>
    <w:rsid w:val="340975AB"/>
    <w:rsid w:val="346130F9"/>
    <w:rsid w:val="346A33DF"/>
    <w:rsid w:val="34A90F16"/>
    <w:rsid w:val="352109C9"/>
    <w:rsid w:val="356512FC"/>
    <w:rsid w:val="386407C5"/>
    <w:rsid w:val="38D46AC2"/>
    <w:rsid w:val="39726F23"/>
    <w:rsid w:val="39CF2C82"/>
    <w:rsid w:val="3A1B3EF8"/>
    <w:rsid w:val="3A653A92"/>
    <w:rsid w:val="3A7E568E"/>
    <w:rsid w:val="3B3A106D"/>
    <w:rsid w:val="3B5E55EC"/>
    <w:rsid w:val="3B956780"/>
    <w:rsid w:val="3BD22D98"/>
    <w:rsid w:val="3CD62DC1"/>
    <w:rsid w:val="3CE15B69"/>
    <w:rsid w:val="3D1C0C68"/>
    <w:rsid w:val="3ECA2F9F"/>
    <w:rsid w:val="3EDE34BA"/>
    <w:rsid w:val="3EE25B3F"/>
    <w:rsid w:val="3F2B17EB"/>
    <w:rsid w:val="3F7959E7"/>
    <w:rsid w:val="3FA714BB"/>
    <w:rsid w:val="3FC62E6A"/>
    <w:rsid w:val="402F5731"/>
    <w:rsid w:val="415C7D0F"/>
    <w:rsid w:val="429E65A5"/>
    <w:rsid w:val="4320396F"/>
    <w:rsid w:val="432740A1"/>
    <w:rsid w:val="434B10C3"/>
    <w:rsid w:val="435D1F96"/>
    <w:rsid w:val="43A51A7B"/>
    <w:rsid w:val="43FF6C16"/>
    <w:rsid w:val="446B2D29"/>
    <w:rsid w:val="44A2461A"/>
    <w:rsid w:val="45124D22"/>
    <w:rsid w:val="45CB17EB"/>
    <w:rsid w:val="45E63514"/>
    <w:rsid w:val="460D77B5"/>
    <w:rsid w:val="465D4994"/>
    <w:rsid w:val="46940354"/>
    <w:rsid w:val="46D430AB"/>
    <w:rsid w:val="47006DCE"/>
    <w:rsid w:val="4758600F"/>
    <w:rsid w:val="47C43BFE"/>
    <w:rsid w:val="486E72AA"/>
    <w:rsid w:val="48AE09BD"/>
    <w:rsid w:val="497D1D60"/>
    <w:rsid w:val="4A4928D1"/>
    <w:rsid w:val="4A9A0E78"/>
    <w:rsid w:val="4BB53EFA"/>
    <w:rsid w:val="4C391133"/>
    <w:rsid w:val="4CEC66FA"/>
    <w:rsid w:val="4D083E8B"/>
    <w:rsid w:val="4D1B5BB3"/>
    <w:rsid w:val="4D1C39E4"/>
    <w:rsid w:val="4D53477D"/>
    <w:rsid w:val="4E014FF0"/>
    <w:rsid w:val="4F913C09"/>
    <w:rsid w:val="4F92491D"/>
    <w:rsid w:val="4FDD295D"/>
    <w:rsid w:val="4FE660E6"/>
    <w:rsid w:val="500D3145"/>
    <w:rsid w:val="50982767"/>
    <w:rsid w:val="50AA3E76"/>
    <w:rsid w:val="527F159B"/>
    <w:rsid w:val="527F50ED"/>
    <w:rsid w:val="52FD4D5F"/>
    <w:rsid w:val="530F16B1"/>
    <w:rsid w:val="53235B4C"/>
    <w:rsid w:val="53900891"/>
    <w:rsid w:val="53937C21"/>
    <w:rsid w:val="54373B85"/>
    <w:rsid w:val="547C0783"/>
    <w:rsid w:val="549802FE"/>
    <w:rsid w:val="54A6271A"/>
    <w:rsid w:val="54B30975"/>
    <w:rsid w:val="551C40F1"/>
    <w:rsid w:val="561B04DE"/>
    <w:rsid w:val="56651C6E"/>
    <w:rsid w:val="567D1D98"/>
    <w:rsid w:val="5688237C"/>
    <w:rsid w:val="569E598D"/>
    <w:rsid w:val="57CB7E06"/>
    <w:rsid w:val="586853BF"/>
    <w:rsid w:val="587B1AE2"/>
    <w:rsid w:val="58AC11FC"/>
    <w:rsid w:val="599C43BD"/>
    <w:rsid w:val="5A683090"/>
    <w:rsid w:val="5ACD3CEF"/>
    <w:rsid w:val="5AD03653"/>
    <w:rsid w:val="5AFF3514"/>
    <w:rsid w:val="5B6B788F"/>
    <w:rsid w:val="5B882EE6"/>
    <w:rsid w:val="5BA57AF9"/>
    <w:rsid w:val="5BEB41D2"/>
    <w:rsid w:val="5C21232B"/>
    <w:rsid w:val="5CD01D0C"/>
    <w:rsid w:val="5D651284"/>
    <w:rsid w:val="5DF35F6B"/>
    <w:rsid w:val="5E742D06"/>
    <w:rsid w:val="5E9A3E27"/>
    <w:rsid w:val="5ECF1F4C"/>
    <w:rsid w:val="5F1A26C8"/>
    <w:rsid w:val="603B4F04"/>
    <w:rsid w:val="604A1C31"/>
    <w:rsid w:val="61C26A06"/>
    <w:rsid w:val="61E7215C"/>
    <w:rsid w:val="621C060A"/>
    <w:rsid w:val="62B86B5B"/>
    <w:rsid w:val="62E76EBB"/>
    <w:rsid w:val="637444D7"/>
    <w:rsid w:val="63B360F8"/>
    <w:rsid w:val="63D13B1C"/>
    <w:rsid w:val="63FB790F"/>
    <w:rsid w:val="653D1848"/>
    <w:rsid w:val="654C6668"/>
    <w:rsid w:val="657C215B"/>
    <w:rsid w:val="65E10FD2"/>
    <w:rsid w:val="65EC1A3B"/>
    <w:rsid w:val="66080C67"/>
    <w:rsid w:val="664E3206"/>
    <w:rsid w:val="66B7430E"/>
    <w:rsid w:val="66C50044"/>
    <w:rsid w:val="66E43C80"/>
    <w:rsid w:val="66EB1CC4"/>
    <w:rsid w:val="670C141A"/>
    <w:rsid w:val="670D5A92"/>
    <w:rsid w:val="6751627D"/>
    <w:rsid w:val="67551527"/>
    <w:rsid w:val="67690F44"/>
    <w:rsid w:val="6769225E"/>
    <w:rsid w:val="67770034"/>
    <w:rsid w:val="67F43044"/>
    <w:rsid w:val="68616CE3"/>
    <w:rsid w:val="688F3D02"/>
    <w:rsid w:val="69FB4050"/>
    <w:rsid w:val="6A306829"/>
    <w:rsid w:val="6A782CF4"/>
    <w:rsid w:val="6A847CCA"/>
    <w:rsid w:val="6BC902A2"/>
    <w:rsid w:val="6C574DCE"/>
    <w:rsid w:val="6C8F0AA3"/>
    <w:rsid w:val="6C94185D"/>
    <w:rsid w:val="6C9C7A0C"/>
    <w:rsid w:val="6CE978EA"/>
    <w:rsid w:val="6CFD2AC3"/>
    <w:rsid w:val="6D136CF1"/>
    <w:rsid w:val="6D726ED9"/>
    <w:rsid w:val="6DD412E3"/>
    <w:rsid w:val="6DF301FD"/>
    <w:rsid w:val="6E276D68"/>
    <w:rsid w:val="6E485BDD"/>
    <w:rsid w:val="6F1F3798"/>
    <w:rsid w:val="6F40122A"/>
    <w:rsid w:val="6FC231E4"/>
    <w:rsid w:val="71235A22"/>
    <w:rsid w:val="72171776"/>
    <w:rsid w:val="7267489D"/>
    <w:rsid w:val="73543AC2"/>
    <w:rsid w:val="73AF1C22"/>
    <w:rsid w:val="73EC08D1"/>
    <w:rsid w:val="74050661"/>
    <w:rsid w:val="752E7CE7"/>
    <w:rsid w:val="760204F9"/>
    <w:rsid w:val="76340433"/>
    <w:rsid w:val="766F44B5"/>
    <w:rsid w:val="772014DB"/>
    <w:rsid w:val="77BB1125"/>
    <w:rsid w:val="78050316"/>
    <w:rsid w:val="786448F2"/>
    <w:rsid w:val="78F348BA"/>
    <w:rsid w:val="799C1093"/>
    <w:rsid w:val="79A565F3"/>
    <w:rsid w:val="7A4723A8"/>
    <w:rsid w:val="7A473F6E"/>
    <w:rsid w:val="7A936CAE"/>
    <w:rsid w:val="7AFF4AFA"/>
    <w:rsid w:val="7B6C1750"/>
    <w:rsid w:val="7B8C62D2"/>
    <w:rsid w:val="7BB40D10"/>
    <w:rsid w:val="7C3C2ABB"/>
    <w:rsid w:val="7C4D3B9B"/>
    <w:rsid w:val="7C6A18EC"/>
    <w:rsid w:val="7CC62ACF"/>
    <w:rsid w:val="7D0E4BB7"/>
    <w:rsid w:val="7DA42A70"/>
    <w:rsid w:val="7D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rFonts w:cs="Times New Roman"/>
      <w:b/>
      <w:bCs/>
    </w:rPr>
  </w:style>
  <w:style w:type="character" w:styleId="7">
    <w:name w:val="page number"/>
    <w:basedOn w:val="5"/>
    <w:qFormat/>
    <w:uiPriority w:val="0"/>
  </w:style>
  <w:style w:type="paragraph" w:customStyle="1" w:styleId="8">
    <w:name w:val="f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8938</Words>
  <Characters>11141</Characters>
  <Lines>0</Lines>
  <Paragraphs>0</Paragraphs>
  <TotalTime>31</TotalTime>
  <ScaleCrop>false</ScaleCrop>
  <LinksUpToDate>false</LinksUpToDate>
  <CharactersWithSpaces>12178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2020-01-14T08:16:00Z</dcterms:created>
  <dc:creator>Administrator</dc:creator>
  <cp:lastModifiedBy>悦己</cp:lastModifiedBy>
  <dcterms:modified xsi:type="dcterms:W3CDTF">2024-08-12T09:30:37Z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900C2B61A2FE46BFA43A3780028A88AC_12</vt:lpwstr>
  </property>
</Properties>
</file>