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黑体" w:hAnsi="黑体" w:eastAsia="黑体"/>
          <w:b/>
          <w:kern w:val="0"/>
          <w:sz w:val="72"/>
          <w:szCs w:val="72"/>
        </w:rPr>
      </w:pPr>
      <w:r>
        <w:rPr>
          <w:rFonts w:hint="eastAsia" w:ascii="黑体" w:hAnsi="黑体" w:eastAsia="黑体"/>
          <w:b/>
          <w:kern w:val="0"/>
          <w:sz w:val="72"/>
          <w:szCs w:val="72"/>
        </w:rPr>
        <w:t>新疆维吾尔自治区国土资源</w:t>
      </w:r>
    </w:p>
    <w:p>
      <w:pPr>
        <w:widowControl/>
        <w:spacing w:before="100" w:beforeAutospacing="1" w:after="100" w:afterAutospacing="1"/>
        <w:jc w:val="center"/>
        <w:outlineLvl w:val="1"/>
        <w:rPr>
          <w:rFonts w:ascii="黑体" w:hAnsi="黑体" w:eastAsia="黑体"/>
          <w:b/>
          <w:kern w:val="0"/>
          <w:sz w:val="72"/>
          <w:szCs w:val="72"/>
        </w:rPr>
      </w:pPr>
      <w:r>
        <w:rPr>
          <w:rFonts w:hint="eastAsia" w:ascii="黑体" w:hAnsi="黑体" w:eastAsia="黑体"/>
          <w:b/>
          <w:kern w:val="0"/>
          <w:sz w:val="72"/>
          <w:szCs w:val="72"/>
        </w:rPr>
        <w:t>执法监察总队</w:t>
      </w:r>
    </w:p>
    <w:p>
      <w:pPr>
        <w:widowControl/>
        <w:spacing w:before="100" w:beforeAutospacing="1" w:after="100" w:afterAutospacing="1"/>
        <w:jc w:val="center"/>
        <w:outlineLvl w:val="1"/>
        <w:rPr>
          <w:rFonts w:ascii="黑体" w:hAnsi="黑体" w:eastAsia="黑体"/>
          <w:b/>
          <w:kern w:val="0"/>
          <w:sz w:val="72"/>
          <w:szCs w:val="72"/>
        </w:rPr>
      </w:pPr>
    </w:p>
    <w:p>
      <w:pPr>
        <w:widowControl/>
        <w:spacing w:before="100" w:beforeAutospacing="1" w:after="100" w:afterAutospacing="1"/>
        <w:jc w:val="center"/>
        <w:outlineLvl w:val="1"/>
        <w:rPr>
          <w:rFonts w:ascii="黑体" w:hAnsi="黑体" w:eastAsia="黑体"/>
          <w:b/>
          <w:kern w:val="0"/>
          <w:sz w:val="52"/>
          <w:szCs w:val="52"/>
        </w:rPr>
      </w:pPr>
      <w:r>
        <w:rPr>
          <w:rFonts w:hint="eastAsia" w:ascii="黑体" w:hAnsi="黑体" w:eastAsia="黑体"/>
          <w:b/>
          <w:kern w:val="0"/>
          <w:sz w:val="72"/>
          <w:szCs w:val="72"/>
        </w:rPr>
        <w:t xml:space="preserve">  </w:t>
      </w:r>
      <w:r>
        <w:rPr>
          <w:rFonts w:hint="eastAsia" w:ascii="黑体" w:hAnsi="黑体" w:eastAsia="黑体"/>
          <w:b/>
          <w:kern w:val="0"/>
          <w:sz w:val="52"/>
          <w:szCs w:val="52"/>
        </w:rPr>
        <w:t>2020年部门预算公开（汇总）</w:t>
      </w:r>
    </w:p>
    <w:p>
      <w:pPr>
        <w:widowControl/>
        <w:spacing w:before="100" w:beforeAutospacing="1" w:after="100" w:afterAutospacing="1"/>
        <w:jc w:val="center"/>
        <w:outlineLvl w:val="1"/>
        <w:rPr>
          <w:rFonts w:ascii="黑体" w:hAnsi="黑体" w:eastAsia="黑体"/>
          <w:b/>
          <w:kern w:val="0"/>
          <w:sz w:val="72"/>
          <w:szCs w:val="72"/>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outlineLvl w:val="1"/>
        <w:rPr>
          <w:rFonts w:ascii="宋体" w:hAnsi="宋体"/>
          <w:b/>
          <w:kern w:val="0"/>
          <w:sz w:val="44"/>
          <w:szCs w:val="44"/>
        </w:rPr>
      </w:pPr>
    </w:p>
    <w:p>
      <w:pPr>
        <w:widowControl/>
        <w:spacing w:line="500" w:lineRule="exact"/>
        <w:outlineLvl w:val="1"/>
        <w:rPr>
          <w:rFonts w:hint="eastAsia" w:ascii="黑体" w:hAnsi="黑体" w:eastAsia="黑体"/>
          <w:kern w:val="0"/>
          <w:sz w:val="36"/>
          <w:szCs w:val="32"/>
        </w:rPr>
      </w:pPr>
    </w:p>
    <w:p>
      <w:pPr>
        <w:widowControl/>
        <w:spacing w:line="500" w:lineRule="exact"/>
        <w:outlineLvl w:val="1"/>
        <w:rPr>
          <w:rFonts w:hint="eastAsia" w:ascii="黑体" w:hAnsi="黑体" w:eastAsia="黑体"/>
          <w:kern w:val="0"/>
          <w:sz w:val="36"/>
          <w:szCs w:val="32"/>
        </w:rPr>
      </w:pPr>
    </w:p>
    <w:p>
      <w:pPr>
        <w:widowControl/>
        <w:spacing w:line="500" w:lineRule="exact"/>
        <w:outlineLvl w:val="1"/>
        <w:rPr>
          <w:rFonts w:hint="eastAsia" w:ascii="黑体" w:hAnsi="黑体" w:eastAsia="黑体"/>
          <w:kern w:val="0"/>
          <w:sz w:val="36"/>
          <w:szCs w:val="32"/>
        </w:rPr>
      </w:pPr>
    </w:p>
    <w:p>
      <w:pPr>
        <w:widowControl/>
        <w:spacing w:line="500" w:lineRule="exact"/>
        <w:outlineLvl w:val="1"/>
        <w:rPr>
          <w:rFonts w:hint="eastAsia" w:ascii="黑体" w:hAnsi="黑体" w:eastAsia="黑体"/>
          <w:kern w:val="0"/>
          <w:sz w:val="36"/>
          <w:szCs w:val="32"/>
        </w:rPr>
      </w:pPr>
    </w:p>
    <w:p>
      <w:pPr>
        <w:widowControl/>
        <w:spacing w:line="500" w:lineRule="exact"/>
        <w:outlineLvl w:val="1"/>
        <w:rPr>
          <w:rFonts w:hint="eastAsia" w:ascii="黑体" w:hAnsi="黑体" w:eastAsia="黑体"/>
          <w:kern w:val="0"/>
          <w:sz w:val="36"/>
          <w:szCs w:val="32"/>
        </w:rPr>
      </w:pPr>
    </w:p>
    <w:p>
      <w:pPr>
        <w:widowControl/>
        <w:spacing w:line="500" w:lineRule="exact"/>
        <w:outlineLvl w:val="1"/>
        <w:rPr>
          <w:rFonts w:hint="eastAsia" w:ascii="黑体" w:hAnsi="黑体" w:eastAsia="黑体"/>
          <w:kern w:val="0"/>
          <w:sz w:val="36"/>
          <w:szCs w:val="32"/>
        </w:rPr>
      </w:pPr>
    </w:p>
    <w:p>
      <w:pPr>
        <w:widowControl/>
        <w:spacing w:line="500" w:lineRule="exact"/>
        <w:outlineLvl w:val="1"/>
        <w:rPr>
          <w:rFonts w:hint="eastAsia" w:ascii="黑体" w:hAnsi="黑体" w:eastAsia="黑体"/>
          <w:kern w:val="0"/>
          <w:sz w:val="36"/>
          <w:szCs w:val="32"/>
        </w:rPr>
      </w:pPr>
    </w:p>
    <w:p>
      <w:pPr>
        <w:widowControl/>
        <w:spacing w:line="500" w:lineRule="exact"/>
        <w:outlineLvl w:val="1"/>
        <w:rPr>
          <w:rFonts w:ascii="黑体" w:hAnsi="黑体" w:eastAsia="黑体"/>
          <w:kern w:val="0"/>
          <w:sz w:val="36"/>
          <w:szCs w:val="32"/>
        </w:rPr>
      </w:pPr>
    </w:p>
    <w:p>
      <w:pPr>
        <w:widowControl/>
        <w:spacing w:line="50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500" w:lineRule="exact"/>
        <w:ind w:firstLine="883" w:firstLineChars="200"/>
        <w:outlineLvl w:val="1"/>
        <w:rPr>
          <w:rFonts w:ascii="宋体" w:hAnsi="宋体"/>
          <w:b/>
          <w:kern w:val="0"/>
          <w:sz w:val="44"/>
          <w:szCs w:val="44"/>
        </w:rPr>
      </w:pP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第一部分  </w:t>
      </w:r>
      <w:r>
        <w:rPr>
          <w:rFonts w:hint="eastAsia" w:ascii="黑体" w:hAnsi="黑体" w:eastAsia="黑体"/>
          <w:sz w:val="32"/>
          <w:szCs w:val="32"/>
        </w:rPr>
        <w:t>自治区国土资源执法监察总队（汇总）</w:t>
      </w:r>
      <w:r>
        <w:rPr>
          <w:rFonts w:hint="eastAsia" w:ascii="仿宋_GB2312" w:hAnsi="宋体" w:eastAsia="仿宋_GB2312"/>
          <w:b/>
          <w:kern w:val="0"/>
          <w:sz w:val="32"/>
          <w:szCs w:val="32"/>
        </w:rPr>
        <w:t>部门单位概况</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2020年部门预算公开表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项目支出情况表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2020年部门预算情况说明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一、关于自治区国土资源执法监察总队（汇总）部门2020年收支预算情况的总体说明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二、关于自治区国土资源执法监察总队（汇总）部门2020年收入预算情况说明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三、关于自治区国土资源执法监察总队（汇总）部门2020年支出预算情况说明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四、关于自治区国土资源执法监察总队（汇总）部门2020年财政拨款收支预算情况的总体说明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五、关于自治区国土资源执法监察总队（汇总）部门2020年一般公共预算当年拨款情况说明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六、关于自治区国土资源执法监察总队（汇总）部门2020年一般公共预算基本支出情况说明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七、关于自治区国土资源执法监察总队（汇总）部门2020年项目支出情况说明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八、关于自治区国土资源执法监察总队（汇总）部门2020年一般公共预算“三公”经费预算情况说明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九、关于自治区国土资源执法监察总队（汇总）部门2020年政府性基金预算拨款情况说明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ascii="黑体" w:hAnsi="黑体" w:eastAsia="黑体"/>
          <w:b/>
          <w:kern w:val="0"/>
          <w:sz w:val="36"/>
          <w:szCs w:val="36"/>
        </w:rPr>
      </w:pPr>
    </w:p>
    <w:p>
      <w:pPr>
        <w:widowControl/>
        <w:jc w:val="center"/>
        <w:outlineLvl w:val="1"/>
        <w:rPr>
          <w:rFonts w:hint="eastAsia" w:ascii="黑体" w:hAnsi="黑体" w:eastAsia="黑体"/>
          <w:b/>
          <w:kern w:val="0"/>
          <w:sz w:val="36"/>
          <w:szCs w:val="36"/>
        </w:rPr>
      </w:pPr>
    </w:p>
    <w:p>
      <w:pPr>
        <w:widowControl/>
        <w:jc w:val="center"/>
        <w:outlineLvl w:val="1"/>
        <w:rPr>
          <w:rFonts w:hint="eastAsia" w:ascii="黑体" w:hAnsi="黑体" w:eastAsia="黑体"/>
          <w:b/>
          <w:kern w:val="0"/>
          <w:sz w:val="36"/>
          <w:szCs w:val="36"/>
        </w:rPr>
      </w:pPr>
    </w:p>
    <w:p>
      <w:pPr>
        <w:widowControl/>
        <w:jc w:val="center"/>
        <w:outlineLvl w:val="1"/>
        <w:rPr>
          <w:rFonts w:hint="eastAsia" w:ascii="黑体" w:hAnsi="黑体" w:eastAsia="黑体"/>
          <w:b/>
          <w:kern w:val="0"/>
          <w:sz w:val="36"/>
          <w:szCs w:val="36"/>
        </w:rPr>
      </w:pPr>
      <w:r>
        <w:rPr>
          <w:rFonts w:hint="eastAsia" w:ascii="黑体" w:hAnsi="黑体" w:eastAsia="黑体"/>
          <w:b/>
          <w:kern w:val="0"/>
          <w:sz w:val="36"/>
          <w:szCs w:val="36"/>
        </w:rPr>
        <w:t>第一部分   自治区国土资源执法监察总队概况</w:t>
      </w:r>
    </w:p>
    <w:p>
      <w:pPr>
        <w:widowControl/>
        <w:outlineLvl w:val="1"/>
        <w:rPr>
          <w:rFonts w:ascii="黑体" w:hAnsi="黑体" w:eastAsia="黑体"/>
          <w:b/>
          <w:kern w:val="0"/>
          <w:sz w:val="36"/>
          <w:szCs w:val="36"/>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ind w:firstLine="640" w:firstLineChars="200"/>
        <w:rPr>
          <w:rFonts w:ascii="仿宋" w:hAnsi="仿宋" w:eastAsia="仿宋"/>
          <w:sz w:val="32"/>
          <w:szCs w:val="32"/>
        </w:rPr>
      </w:pPr>
      <w:r>
        <w:rPr>
          <w:rFonts w:hint="eastAsia" w:ascii="黑体" w:hAnsi="黑体" w:eastAsia="黑体" w:cs="宋体"/>
          <w:bCs/>
          <w:kern w:val="0"/>
          <w:sz w:val="32"/>
          <w:szCs w:val="32"/>
        </w:rPr>
        <w:t xml:space="preserve">  </w:t>
      </w:r>
      <w:r>
        <w:rPr>
          <w:rFonts w:hint="eastAsia" w:ascii="仿宋" w:hAnsi="仿宋" w:eastAsia="仿宋"/>
          <w:sz w:val="32"/>
          <w:szCs w:val="32"/>
        </w:rPr>
        <w:t>自治区国土资源执法监察总队，为自治区国土资源厅副厅级单位，参照国家公务员制度管理。自治区以下国土资源执法监察机构实行垂直管理，统一履行自治区国土资源执法监察职能。</w:t>
      </w:r>
    </w:p>
    <w:p>
      <w:pPr>
        <w:ind w:firstLine="640" w:firstLineChars="200"/>
        <w:rPr>
          <w:rFonts w:ascii="仿宋" w:hAnsi="仿宋" w:eastAsia="仿宋"/>
          <w:sz w:val="32"/>
          <w:szCs w:val="32"/>
        </w:rPr>
      </w:pPr>
      <w:r>
        <w:rPr>
          <w:rFonts w:hint="eastAsia" w:ascii="仿宋" w:hAnsi="仿宋" w:eastAsia="仿宋"/>
          <w:sz w:val="32"/>
          <w:szCs w:val="32"/>
        </w:rPr>
        <w:t>1、宣传和贯彻预算国家、自治区有关土地、矿产资源的法律、法规、规章和政策。</w:t>
      </w:r>
    </w:p>
    <w:p>
      <w:pPr>
        <w:ind w:firstLine="640" w:firstLineChars="200"/>
        <w:rPr>
          <w:rFonts w:ascii="仿宋" w:hAnsi="仿宋" w:eastAsia="仿宋"/>
          <w:sz w:val="32"/>
          <w:szCs w:val="32"/>
        </w:rPr>
      </w:pPr>
      <w:r>
        <w:rPr>
          <w:rFonts w:hint="eastAsia" w:ascii="仿宋" w:hAnsi="仿宋" w:eastAsia="仿宋"/>
          <w:sz w:val="32"/>
          <w:szCs w:val="32"/>
        </w:rPr>
        <w:t>2、组织和实施对全区预算土地、矿产资源法律、法规、规章情况的巡查，及时发现和制止土地、矿产资源违法行为。</w:t>
      </w:r>
    </w:p>
    <w:p>
      <w:pPr>
        <w:ind w:firstLine="640" w:firstLineChars="200"/>
        <w:rPr>
          <w:rFonts w:ascii="仿宋" w:hAnsi="仿宋" w:eastAsia="仿宋"/>
          <w:sz w:val="32"/>
          <w:szCs w:val="32"/>
        </w:rPr>
      </w:pPr>
      <w:r>
        <w:rPr>
          <w:rFonts w:hint="eastAsia" w:ascii="仿宋" w:hAnsi="仿宋" w:eastAsia="仿宋"/>
          <w:sz w:val="32"/>
          <w:szCs w:val="32"/>
        </w:rPr>
        <w:t>3、依法组织和实施自治区重大土地、矿产资源违法案件的调查、取证、现场勘验工作，并提交自治区土地、矿产资源重大违法案件调查报告和查处意见。</w:t>
      </w:r>
    </w:p>
    <w:p>
      <w:pPr>
        <w:ind w:firstLine="640" w:firstLineChars="200"/>
        <w:rPr>
          <w:rFonts w:ascii="仿宋" w:hAnsi="仿宋" w:eastAsia="仿宋"/>
          <w:sz w:val="32"/>
          <w:szCs w:val="32"/>
        </w:rPr>
      </w:pPr>
      <w:r>
        <w:rPr>
          <w:rFonts w:hint="eastAsia" w:ascii="仿宋" w:hAnsi="仿宋" w:eastAsia="仿宋"/>
          <w:sz w:val="32"/>
          <w:szCs w:val="32"/>
        </w:rPr>
        <w:t>4、负责自治区重大土地、矿产资源违法案件查处决定的督办。</w:t>
      </w:r>
    </w:p>
    <w:p>
      <w:pPr>
        <w:ind w:firstLine="640" w:firstLineChars="200"/>
        <w:rPr>
          <w:rFonts w:ascii="仿宋" w:hAnsi="仿宋" w:eastAsia="仿宋"/>
          <w:sz w:val="32"/>
          <w:szCs w:val="32"/>
        </w:rPr>
      </w:pPr>
      <w:r>
        <w:rPr>
          <w:rFonts w:hint="eastAsia" w:ascii="仿宋" w:hAnsi="仿宋" w:eastAsia="仿宋"/>
          <w:sz w:val="32"/>
          <w:szCs w:val="32"/>
        </w:rPr>
        <w:t>5、领导自治区以下国土资源执法监察机构，负责全区国土资源执法监察队伍建设，统一管理全区国土资源执法监察机构的机构编制，人员、经费和内部审计。</w:t>
      </w:r>
      <w:r>
        <w:rPr>
          <w:rFonts w:hint="eastAsia" w:ascii="仿宋_GB2312" w:hAnsi="宋体" w:eastAsia="仿宋_GB2312" w:cs="宋体"/>
          <w:bCs/>
          <w:kern w:val="0"/>
          <w:sz w:val="32"/>
          <w:szCs w:val="32"/>
        </w:rPr>
        <w:t xml:space="preserve"> </w:t>
      </w:r>
    </w:p>
    <w:p>
      <w:pPr>
        <w:widowControl/>
        <w:spacing w:line="560" w:lineRule="exact"/>
        <w:ind w:firstLine="630"/>
        <w:jc w:val="left"/>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1、从预算单位构成看，2020年度</w:t>
      </w:r>
      <w:r>
        <w:rPr>
          <w:rFonts w:hint="eastAsia" w:ascii="仿宋" w:hAnsi="仿宋" w:eastAsia="仿宋"/>
          <w:sz w:val="32"/>
          <w:szCs w:val="32"/>
        </w:rPr>
        <w:t>自治区国土资源执法监察总队部门预算包括自治区国土资源执法监察总队本级及</w:t>
      </w:r>
      <w:r>
        <w:rPr>
          <w:rFonts w:hint="eastAsia" w:ascii="仿宋_GB2312" w:hAnsi="仿宋" w:eastAsia="仿宋_GB2312"/>
          <w:sz w:val="32"/>
          <w:szCs w:val="32"/>
        </w:rPr>
        <w:t>下属单位共102个，均为自治区垂管参照公务员管理单位。二级预算单位1个，三级预算单位15个，四级预算单位86个，各地州市支队和县市大队均为垂直管理。</w:t>
      </w:r>
    </w:p>
    <w:p>
      <w:pPr>
        <w:spacing w:line="500" w:lineRule="exact"/>
        <w:ind w:firstLine="643" w:firstLineChars="200"/>
        <w:jc w:val="left"/>
        <w:rPr>
          <w:rFonts w:ascii="仿宋" w:hAnsi="仿宋" w:eastAsia="仿宋"/>
          <w:b/>
          <w:sz w:val="32"/>
          <w:szCs w:val="32"/>
        </w:rPr>
      </w:pPr>
      <w:r>
        <w:rPr>
          <w:rFonts w:hint="eastAsia" w:ascii="仿宋" w:hAnsi="仿宋" w:eastAsia="仿宋"/>
          <w:b/>
          <w:sz w:val="32"/>
          <w:szCs w:val="32"/>
        </w:rPr>
        <w:t>纳入2020年预算编报二级单位</w:t>
      </w:r>
      <w:r>
        <w:rPr>
          <w:rFonts w:hint="eastAsia" w:ascii="仿宋_GB2312" w:hAnsi="宋体" w:eastAsia="仿宋_GB2312" w:cs="宋体"/>
          <w:b/>
          <w:color w:val="000000"/>
          <w:kern w:val="0"/>
          <w:sz w:val="32"/>
          <w:szCs w:val="32"/>
        </w:rPr>
        <w:t>、三级、四级单位情况。</w:t>
      </w:r>
    </w:p>
    <w:tbl>
      <w:tblPr>
        <w:tblStyle w:val="7"/>
        <w:tblW w:w="46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2932"/>
        <w:gridCol w:w="840"/>
        <w:gridCol w:w="1120"/>
        <w:gridCol w:w="937"/>
        <w:gridCol w:w="1031"/>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rPr>
                <w:rFonts w:ascii="仿宋_GB2312" w:hAnsi="宋体" w:eastAsia="仿宋_GB2312" w:cs="宋体"/>
                <w:b/>
                <w:kern w:val="0"/>
                <w:sz w:val="24"/>
              </w:rPr>
            </w:pPr>
            <w:r>
              <w:rPr>
                <w:rFonts w:hint="eastAsia" w:ascii="仿宋_GB2312" w:hAnsi="宋体" w:eastAsia="仿宋_GB2312" w:cs="宋体"/>
                <w:b/>
                <w:kern w:val="0"/>
                <w:sz w:val="24"/>
              </w:rPr>
              <w:t>序号</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rPr>
                <w:rFonts w:ascii="仿宋_GB2312" w:hAnsi="宋体" w:eastAsia="仿宋_GB2312" w:cs="宋体"/>
                <w:b/>
                <w:kern w:val="0"/>
                <w:sz w:val="24"/>
              </w:rPr>
            </w:pPr>
            <w:r>
              <w:rPr>
                <w:rFonts w:hint="eastAsia" w:ascii="仿宋_GB2312" w:hAnsi="宋体" w:eastAsia="仿宋_GB2312" w:cs="宋体"/>
                <w:b/>
                <w:kern w:val="0"/>
                <w:sz w:val="24"/>
              </w:rPr>
              <w:t>单位名称</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rPr>
                <w:rFonts w:ascii="仿宋_GB2312" w:hAnsi="宋体" w:eastAsia="仿宋_GB2312" w:cs="宋体"/>
                <w:b/>
                <w:kern w:val="0"/>
                <w:sz w:val="24"/>
              </w:rPr>
            </w:pPr>
            <w:r>
              <w:rPr>
                <w:rFonts w:hint="eastAsia" w:ascii="仿宋_GB2312" w:hAnsi="宋体" w:eastAsia="仿宋_GB2312" w:cs="宋体"/>
                <w:b/>
                <w:kern w:val="0"/>
                <w:sz w:val="24"/>
              </w:rPr>
              <w:t>单位性质</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rPr>
                <w:rFonts w:ascii="仿宋_GB2312" w:hAnsi="宋体" w:eastAsia="仿宋_GB2312" w:cs="宋体"/>
                <w:b/>
                <w:kern w:val="0"/>
                <w:sz w:val="24"/>
              </w:rPr>
            </w:pPr>
            <w:r>
              <w:rPr>
                <w:rFonts w:hint="eastAsia" w:ascii="仿宋_GB2312" w:hAnsi="宋体" w:eastAsia="仿宋_GB2312" w:cs="宋体"/>
                <w:b/>
                <w:kern w:val="0"/>
                <w:sz w:val="24"/>
              </w:rPr>
              <w:t>机构规格</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rPr>
                <w:rFonts w:ascii="仿宋_GB2312" w:hAnsi="宋体" w:eastAsia="仿宋_GB2312" w:cs="宋体"/>
                <w:b/>
                <w:kern w:val="0"/>
                <w:sz w:val="24"/>
              </w:rPr>
            </w:pPr>
            <w:r>
              <w:rPr>
                <w:rFonts w:hint="eastAsia" w:ascii="仿宋_GB2312" w:hAnsi="宋体" w:eastAsia="仿宋_GB2312" w:cs="宋体"/>
                <w:b/>
                <w:kern w:val="0"/>
                <w:sz w:val="24"/>
              </w:rPr>
              <w:t>经费管理</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4"/>
              </w:rPr>
            </w:pPr>
            <w:r>
              <w:rPr>
                <w:rFonts w:hint="eastAsia" w:ascii="仿宋_GB2312" w:hAnsi="宋体" w:eastAsia="仿宋_GB2312" w:cs="宋体"/>
                <w:b/>
                <w:kern w:val="0"/>
                <w:sz w:val="24"/>
              </w:rPr>
              <w:t>预算</w:t>
            </w:r>
          </w:p>
          <w:p>
            <w:pPr>
              <w:widowControl/>
              <w:spacing w:line="300" w:lineRule="exact"/>
              <w:jc w:val="center"/>
              <w:rPr>
                <w:rFonts w:ascii="仿宋_GB2312" w:hAnsi="宋体" w:eastAsia="仿宋_GB2312" w:cs="宋体"/>
                <w:b/>
                <w:kern w:val="0"/>
                <w:sz w:val="24"/>
              </w:rPr>
            </w:pPr>
            <w:r>
              <w:rPr>
                <w:rFonts w:hint="eastAsia" w:ascii="仿宋_GB2312" w:hAnsi="宋体" w:eastAsia="仿宋_GB2312" w:cs="宋体"/>
                <w:b/>
                <w:kern w:val="0"/>
                <w:sz w:val="24"/>
              </w:rPr>
              <w:t>级次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rPr>
                <w:rFonts w:ascii="仿宋_GB2312" w:hAnsi="宋体" w:eastAsia="仿宋_GB2312" w:cs="宋体"/>
                <w:b/>
                <w:kern w:val="0"/>
                <w:sz w:val="24"/>
              </w:rPr>
            </w:pPr>
            <w:r>
              <w:rPr>
                <w:rFonts w:hint="eastAsia" w:ascii="仿宋_GB2312" w:hAnsi="宋体" w:eastAsia="仿宋_GB2312" w:cs="宋体"/>
                <w:b/>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自治区国土资源执法监察总队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副厅（局）级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乌鲁木齐市国土资源执法监察支队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乌鲁木齐县国土资源执法监察大队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乌鲁木齐市米东区国土资源执法监察大队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克拉玛依市国土资源执法监察支队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石河子市国土资源执法监察支队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伊犁哈萨克自治州国土资源执法监察支队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伊宁市国土资源执法监察大队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伊宁县国土资源执法监察大队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奎屯市国土资源执法监察大队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昭苏县国土资源执法监察大队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特克斯县国土资源执法监察大队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新源县国土资源执法监察大队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巩留县国土资源执法监察大队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尼勒克县国土资源执法监察大队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霍城县国土资源执法监察大队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察布查尔县国土资源执法监察大队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霍尔果斯市国土资源执法监察大队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昌吉回族自治州国土资源执法监察支队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昌吉市国土资源执法监察大队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玛纳斯县国土资源执法监察大队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呼图壁县国土资源执法监察大队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奇台县国土资源执法监察大队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阜康市国土资源执法监察大队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木垒哈萨克自治县国土资源执法监察大队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吉木萨尔县国土资源执法监察大队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博尔塔拉蒙古自治州国土资源执法监察支队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博乐市国土资源执法监察大队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29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精河县国土资源执法监察大队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温泉县国土资源执法监察大队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阿拉山口市国土资源执法监察大队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塔城地区国土资源执法监察支队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塔城市国土资源执法监察大队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沙湾县国土资源执法监察大队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乌苏市国土资源执法监察大队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额敏县国土资源执法监察大队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托里县国土资源执法监察大队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裕民县国土资源执法监察大队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39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和布尔萨尔蒙古自治县国土资源执法监察大队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阿勒泰地区国土资资源执法监察支队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阿勒泰市国土资源执法监察大队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布尔津县国土资源执法监察大队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哈巴河县国土资源执法监察大队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青河县国土资源执法监察大队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富蕴县国土资源执法监察大队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福海县国土资源执法监察大队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吉木乃县国土资源执法监察大队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哈密市国土资源执法监察支队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49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哈密市伊州区国土资源执法监察大队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巴里坤县国土资源执法监察大队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伊吾县国土资源执法监察大队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吐鲁番市国土资源执法监察支队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吐鲁番市高昌区国土资源执法监察大队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托克逊县国土资源执法监察大队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鄯善县国土资源执法监察大队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巴音郭楞蒙古自治州国土资源执法监察支队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库尔勒市国土资源执法监察大队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和静县国土资源执法监察大队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59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和硕县国土资源执法监察大队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焉耆回族自治县国土资源执法监察大队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且末县国土资源执法监察大队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尉犁县国土资源执法监察大队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轮台县国土资源执法监察大队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博湖县国土资源执法监察大队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若羌县国土资源执法监察大队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阿克苏地区国土资源执法监察支队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阿克苏市国土资源执法监察大队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温宿县国土资源执法监察大队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69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库车县国土资源执法监察大队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拜城县国土资源执法监察大队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阿瓦提县国土资源执法监察大队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乌什县国土资源执法监察大队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沙雅县国土资源执法监察大队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新和县国土资源执法监察大队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柯坪县国土资源执法监察大队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克孜勒苏柯尔克孜自治州国土资源执法监察支队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阿图什市国土资源执法监察大队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乌恰县国土资源执法监察大队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79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阿合奇县国土资源执法监察大队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阿克陶县国土资源执法监察大队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喀什地区国土资源执法监察支队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喀什市国土资源执法监察大队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疏勒县国土资源执法监察大队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疏附县国土资源执法监察大队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叶城县国土资源执法监察大队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英吉沙县国土资源执法监察大队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莎车县国土资源执法监察大队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麦盖提县国土资源执法监察大队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89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巴楚县国土资源执法监察大队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塔什库尔干塔吉克自治县国土资源执法监察大队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伽师县国土资源执法监察大队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泽普县国土资源执法监察大队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93</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岳普湖县国土资源执法监察大队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94</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和田地区国土资源执法监察支队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县（处）级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和田市国土资源执法监察大队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96</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和田县国土资源执法监察大队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97</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皮山县国土资源执法监察大队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98</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墨玉县国土资源执法监察大队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99</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民丰县国土资源执法监察大队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洛浦县国土资源执法监察大队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101</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策勒县国土资源执法监察大队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28"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102</w:t>
            </w:r>
          </w:p>
        </w:tc>
        <w:tc>
          <w:tcPr>
            <w:tcW w:w="1706"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rPr>
                <w:rFonts w:ascii="仿宋_GB2312" w:hAnsi="宋体" w:eastAsia="仿宋_GB2312" w:cs="宋体"/>
                <w:kern w:val="0"/>
                <w:szCs w:val="21"/>
              </w:rPr>
            </w:pPr>
            <w:r>
              <w:rPr>
                <w:rFonts w:hint="eastAsia" w:ascii="仿宋_GB2312" w:hAnsi="宋体" w:eastAsia="仿宋_GB2312" w:cs="宋体"/>
                <w:kern w:val="0"/>
                <w:szCs w:val="21"/>
              </w:rPr>
              <w:t>于田县国土资源执法监察大队</w:t>
            </w:r>
          </w:p>
        </w:tc>
        <w:tc>
          <w:tcPr>
            <w:tcW w:w="489"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参公管理</w:t>
            </w:r>
          </w:p>
        </w:tc>
        <w:tc>
          <w:tcPr>
            <w:tcW w:w="652"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科级</w:t>
            </w:r>
          </w:p>
        </w:tc>
        <w:tc>
          <w:tcPr>
            <w:tcW w:w="545"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全额预算</w:t>
            </w:r>
          </w:p>
        </w:tc>
        <w:tc>
          <w:tcPr>
            <w:tcW w:w="600"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r>
              <w:rPr>
                <w:rFonts w:hint="eastAsia" w:ascii="仿宋_GB2312" w:hAnsi="宋体" w:eastAsia="仿宋_GB2312" w:cs="宋体"/>
                <w:kern w:val="0"/>
                <w:szCs w:val="21"/>
              </w:rPr>
              <w:t>四级垂管</w:t>
            </w:r>
          </w:p>
        </w:tc>
        <w:tc>
          <w:tcPr>
            <w:tcW w:w="581" w:type="pc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00" w:lineRule="exact"/>
              <w:jc w:val="center"/>
              <w:rPr>
                <w:rFonts w:ascii="仿宋_GB2312" w:hAnsi="宋体" w:eastAsia="仿宋_GB2312" w:cs="宋体"/>
                <w:kern w:val="0"/>
                <w:szCs w:val="21"/>
              </w:rPr>
            </w:pPr>
          </w:p>
        </w:tc>
      </w:tr>
    </w:tbl>
    <w:p>
      <w:pPr>
        <w:pStyle w:val="21"/>
        <w:ind w:left="1363"/>
        <w:rPr>
          <w:rFonts w:ascii="仿宋" w:hAnsi="仿宋" w:eastAsia="仿宋"/>
          <w:b/>
          <w:sz w:val="32"/>
          <w:szCs w:val="32"/>
        </w:rPr>
      </w:pPr>
    </w:p>
    <w:p>
      <w:pPr>
        <w:widowControl/>
        <w:spacing w:before="100" w:beforeAutospacing="1" w:after="100" w:afterAutospacing="1" w:line="560" w:lineRule="exact"/>
        <w:ind w:firstLine="1115" w:firstLineChars="347"/>
        <w:jc w:val="left"/>
        <w:rPr>
          <w:rFonts w:ascii="仿宋" w:hAnsi="仿宋" w:eastAsia="仿宋" w:cs="宋体"/>
          <w:color w:val="000000"/>
          <w:kern w:val="0"/>
          <w:sz w:val="32"/>
          <w:szCs w:val="32"/>
        </w:rPr>
      </w:pPr>
      <w:r>
        <w:rPr>
          <w:rFonts w:hint="eastAsia" w:ascii="仿宋" w:hAnsi="仿宋" w:eastAsia="仿宋" w:cs="宋体"/>
          <w:b/>
          <w:color w:val="000000"/>
          <w:kern w:val="0"/>
          <w:sz w:val="32"/>
          <w:szCs w:val="32"/>
        </w:rPr>
        <w:t>2.</w:t>
      </w:r>
      <w:r>
        <w:rPr>
          <w:rFonts w:hint="eastAsia" w:ascii="仿宋" w:hAnsi="仿宋" w:eastAsia="仿宋" w:cs="宋体"/>
          <w:color w:val="000000" w:themeColor="text1"/>
          <w:kern w:val="0"/>
          <w:sz w:val="32"/>
          <w:szCs w:val="32"/>
        </w:rPr>
        <w:t xml:space="preserve"> </w:t>
      </w:r>
      <w:r>
        <w:rPr>
          <w:rFonts w:hint="eastAsia" w:ascii="仿宋" w:hAnsi="仿宋" w:eastAsia="仿宋" w:cs="宋体"/>
          <w:b/>
          <w:color w:val="000000"/>
          <w:kern w:val="0"/>
          <w:sz w:val="32"/>
          <w:szCs w:val="32"/>
        </w:rPr>
        <w:t>自治区国土资源总队本级机关内设机构情况</w:t>
      </w:r>
      <w:r>
        <w:rPr>
          <w:rFonts w:hint="eastAsia" w:ascii="仿宋" w:hAnsi="仿宋" w:eastAsia="仿宋" w:cs="宋体"/>
          <w:color w:val="000000"/>
          <w:kern w:val="0"/>
          <w:sz w:val="32"/>
          <w:szCs w:val="32"/>
        </w:rPr>
        <w:t>。</w:t>
      </w:r>
    </w:p>
    <w:p>
      <w:pPr>
        <w:spacing w:line="560" w:lineRule="exact"/>
        <w:ind w:firstLine="640" w:firstLineChars="200"/>
        <w:jc w:val="left"/>
        <w:rPr>
          <w:rFonts w:ascii="仿宋_GB2312" w:hAnsi="仿宋" w:eastAsia="仿宋_GB2312"/>
          <w:color w:val="000000" w:themeColor="text1"/>
          <w:sz w:val="32"/>
          <w:szCs w:val="32"/>
        </w:rPr>
      </w:pPr>
      <w:r>
        <w:rPr>
          <w:rFonts w:hint="eastAsia" w:ascii="仿宋" w:hAnsi="仿宋" w:eastAsia="仿宋" w:cs="宋体"/>
          <w:color w:val="000000" w:themeColor="text1"/>
          <w:kern w:val="0"/>
          <w:sz w:val="32"/>
          <w:szCs w:val="32"/>
        </w:rPr>
        <w:t>自治区国土资源总队机关内设6个处室，分别为：办公室、土地执法监察处、矿产执法监察处、机关党委、监察室、人事教育处。</w:t>
      </w:r>
      <w:r>
        <w:rPr>
          <w:rFonts w:hint="eastAsia" w:ascii="仿宋_GB2312" w:hAnsi="仿宋" w:eastAsia="仿宋_GB2312"/>
          <w:color w:val="000000" w:themeColor="text1"/>
          <w:sz w:val="32"/>
          <w:szCs w:val="32"/>
        </w:rPr>
        <w:t>2020年，总队机关共有人员编制36个，实有在职人数31人，均为统发工资人员；退休人员6人，已纳入社保退休。</w:t>
      </w:r>
    </w:p>
    <w:p>
      <w:pPr>
        <w:widowControl/>
        <w:spacing w:before="100" w:beforeAutospacing="1" w:after="100" w:afterAutospacing="1" w:line="560" w:lineRule="exact"/>
        <w:ind w:firstLine="790" w:firstLineChars="246"/>
        <w:jc w:val="left"/>
        <w:rPr>
          <w:rFonts w:ascii="仿宋" w:hAnsi="仿宋" w:eastAsia="仿宋" w:cs="宋体"/>
          <w:b/>
          <w:bCs/>
          <w:color w:val="000000" w:themeColor="text1"/>
          <w:kern w:val="0"/>
          <w:sz w:val="32"/>
          <w:szCs w:val="32"/>
        </w:rPr>
      </w:pPr>
      <w:r>
        <w:rPr>
          <w:rFonts w:hint="eastAsia" w:ascii="仿宋" w:hAnsi="仿宋" w:eastAsia="仿宋" w:cs="宋体"/>
          <w:b/>
          <w:bCs/>
          <w:color w:val="000000" w:themeColor="text1"/>
          <w:kern w:val="0"/>
          <w:sz w:val="32"/>
          <w:szCs w:val="32"/>
        </w:rPr>
        <w:t>3.人员情况</w:t>
      </w:r>
    </w:p>
    <w:p>
      <w:pPr>
        <w:spacing w:line="500" w:lineRule="exact"/>
        <w:ind w:firstLine="640" w:firstLineChars="200"/>
        <w:jc w:val="left"/>
        <w:rPr>
          <w:rFonts w:ascii="仿宋" w:hAnsi="仿宋" w:eastAsia="仿宋" w:cs="宋体"/>
          <w:color w:val="000000" w:themeColor="text1"/>
          <w:kern w:val="0"/>
          <w:sz w:val="32"/>
          <w:szCs w:val="32"/>
        </w:rPr>
      </w:pPr>
      <w:r>
        <w:rPr>
          <w:rFonts w:hint="eastAsia" w:ascii="仿宋_GB2312" w:hAnsi="仿宋" w:eastAsia="仿宋_GB2312"/>
          <w:color w:val="000000" w:themeColor="text1"/>
          <w:sz w:val="32"/>
          <w:szCs w:val="32"/>
        </w:rPr>
        <w:t xml:space="preserve">  2020年，</w:t>
      </w:r>
      <w:r>
        <w:rPr>
          <w:rFonts w:hint="eastAsia" w:ascii="仿宋" w:hAnsi="仿宋" w:eastAsia="仿宋" w:cs="宋体"/>
          <w:color w:val="000000"/>
          <w:kern w:val="0"/>
          <w:sz w:val="32"/>
          <w:szCs w:val="32"/>
        </w:rPr>
        <w:t>依据自治区编委下达的“三定方案”，自治区国土资源执法监察系统人员编</w:t>
      </w:r>
      <w:r>
        <w:rPr>
          <w:rFonts w:hint="eastAsia" w:ascii="仿宋" w:hAnsi="仿宋" w:eastAsia="仿宋" w:cs="宋体"/>
          <w:kern w:val="0"/>
          <w:sz w:val="32"/>
          <w:szCs w:val="32"/>
        </w:rPr>
        <w:t>制</w:t>
      </w:r>
      <w:r>
        <w:rPr>
          <w:rFonts w:hint="eastAsia" w:ascii="仿宋" w:hAnsi="仿宋" w:eastAsia="仿宋" w:cs="宋体"/>
          <w:color w:val="000000" w:themeColor="text1"/>
          <w:kern w:val="0"/>
          <w:sz w:val="32"/>
          <w:szCs w:val="32"/>
        </w:rPr>
        <w:t>653人，与上年一致，</w:t>
      </w:r>
      <w:r>
        <w:rPr>
          <w:rFonts w:hint="eastAsia" w:ascii="仿宋_GB2312" w:hAnsi="仿宋" w:eastAsia="仿宋_GB2312"/>
          <w:color w:val="000000" w:themeColor="text1"/>
          <w:sz w:val="32"/>
          <w:szCs w:val="32"/>
        </w:rPr>
        <w:t>均为参照公务员编制，二级单位为统发工资单位、三级、四级为非统发工资单位</w:t>
      </w:r>
      <w:r>
        <w:rPr>
          <w:rFonts w:hint="eastAsia" w:ascii="仿宋" w:hAnsi="仿宋" w:eastAsia="仿宋" w:cs="宋体"/>
          <w:color w:val="000000" w:themeColor="text1"/>
          <w:kern w:val="0"/>
          <w:sz w:val="32"/>
          <w:szCs w:val="32"/>
        </w:rPr>
        <w:t>。目前</w:t>
      </w:r>
      <w:r>
        <w:rPr>
          <w:rFonts w:hint="eastAsia" w:ascii="仿宋_GB2312" w:hAnsi="仿宋" w:eastAsia="仿宋_GB2312"/>
          <w:color w:val="000000" w:themeColor="text1"/>
          <w:sz w:val="32"/>
          <w:szCs w:val="32"/>
        </w:rPr>
        <w:t>实有在职人数612人，</w:t>
      </w:r>
      <w:r>
        <w:rPr>
          <w:rFonts w:hint="eastAsia" w:ascii="仿宋" w:hAnsi="仿宋" w:eastAsia="仿宋" w:cs="宋体"/>
          <w:color w:val="000000" w:themeColor="text1"/>
          <w:kern w:val="0"/>
          <w:sz w:val="32"/>
          <w:szCs w:val="32"/>
        </w:rPr>
        <w:t>较2019年净减少10人，其中：</w:t>
      </w:r>
      <w:r>
        <w:rPr>
          <w:rFonts w:hint="eastAsia" w:ascii="仿宋_GB2312" w:hAnsi="仿宋" w:eastAsia="仿宋_GB2312"/>
          <w:color w:val="000000" w:themeColor="text1"/>
          <w:sz w:val="32"/>
          <w:szCs w:val="32"/>
        </w:rPr>
        <w:t>开除1人；取消录用1人；辞退1人；调出2人，退休</w:t>
      </w:r>
      <w:r>
        <w:rPr>
          <w:rFonts w:hint="eastAsia" w:ascii="仿宋" w:hAnsi="仿宋" w:eastAsia="仿宋" w:cs="宋体"/>
          <w:color w:val="000000" w:themeColor="text1"/>
          <w:kern w:val="0"/>
          <w:sz w:val="32"/>
          <w:szCs w:val="32"/>
        </w:rPr>
        <w:t>5人</w:t>
      </w:r>
      <w:r>
        <w:rPr>
          <w:rFonts w:hint="eastAsia" w:ascii="仿宋_GB2312" w:hAnsi="仿宋" w:eastAsia="仿宋_GB2312"/>
          <w:color w:val="000000" w:themeColor="text1"/>
          <w:sz w:val="32"/>
          <w:szCs w:val="32"/>
        </w:rPr>
        <w:t>。</w:t>
      </w:r>
    </w:p>
    <w:p>
      <w:pPr>
        <w:widowControl/>
        <w:spacing w:beforeLines="50"/>
        <w:jc w:val="center"/>
        <w:outlineLvl w:val="1"/>
        <w:rPr>
          <w:rFonts w:ascii="黑体" w:hAnsi="黑体" w:eastAsia="黑体"/>
          <w:kern w:val="0"/>
          <w:sz w:val="32"/>
          <w:szCs w:val="32"/>
        </w:rPr>
      </w:pPr>
    </w:p>
    <w:p>
      <w:pPr>
        <w:widowControl/>
        <w:spacing w:beforeLines="50"/>
        <w:jc w:val="center"/>
        <w:outlineLvl w:val="1"/>
        <w:rPr>
          <w:rFonts w:ascii="黑体" w:hAnsi="黑体" w:eastAsia="黑体"/>
          <w:b/>
          <w:kern w:val="0"/>
          <w:sz w:val="36"/>
          <w:szCs w:val="36"/>
        </w:rPr>
      </w:pPr>
    </w:p>
    <w:p>
      <w:pPr>
        <w:widowControl/>
        <w:spacing w:beforeLines="50"/>
        <w:jc w:val="center"/>
        <w:outlineLvl w:val="1"/>
        <w:rPr>
          <w:rFonts w:ascii="黑体" w:hAnsi="黑体" w:eastAsia="黑体"/>
          <w:b/>
          <w:kern w:val="0"/>
          <w:sz w:val="36"/>
          <w:szCs w:val="36"/>
        </w:rPr>
      </w:pPr>
    </w:p>
    <w:p>
      <w:pPr>
        <w:widowControl/>
        <w:spacing w:beforeLines="50"/>
        <w:jc w:val="center"/>
        <w:outlineLvl w:val="1"/>
        <w:rPr>
          <w:rFonts w:ascii="黑体" w:hAnsi="黑体" w:eastAsia="黑体"/>
          <w:b/>
          <w:kern w:val="0"/>
          <w:sz w:val="36"/>
          <w:szCs w:val="36"/>
        </w:rPr>
      </w:pPr>
    </w:p>
    <w:p>
      <w:pPr>
        <w:widowControl/>
        <w:spacing w:beforeLines="50"/>
        <w:jc w:val="center"/>
        <w:outlineLvl w:val="1"/>
        <w:rPr>
          <w:rFonts w:ascii="黑体" w:hAnsi="黑体" w:eastAsia="黑体"/>
          <w:b/>
          <w:kern w:val="0"/>
          <w:sz w:val="36"/>
          <w:szCs w:val="36"/>
        </w:rPr>
      </w:pPr>
    </w:p>
    <w:p>
      <w:pPr>
        <w:widowControl/>
        <w:spacing w:beforeLines="50"/>
        <w:jc w:val="center"/>
        <w:outlineLvl w:val="1"/>
        <w:rPr>
          <w:rFonts w:ascii="黑体" w:hAnsi="黑体" w:eastAsia="黑体"/>
          <w:b/>
          <w:kern w:val="0"/>
          <w:sz w:val="36"/>
          <w:szCs w:val="36"/>
        </w:rPr>
      </w:pPr>
      <w:r>
        <w:rPr>
          <w:rFonts w:hint="eastAsia" w:ascii="黑体" w:hAnsi="黑体" w:eastAsia="黑体"/>
          <w:b/>
          <w:kern w:val="0"/>
          <w:sz w:val="36"/>
          <w:szCs w:val="36"/>
        </w:rPr>
        <w:t>第二部分  2020年自治区国土资源执法监察总队（汇总）部门预算公开表</w:t>
      </w:r>
    </w:p>
    <w:p>
      <w:pPr>
        <w:widowControl/>
        <w:spacing w:beforeLines="5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表一：</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编制部门：自治区国土资源执法监察总队 （汇总）                     单位：万元</w:t>
      </w:r>
    </w:p>
    <w:tbl>
      <w:tblPr>
        <w:tblStyle w:val="7"/>
        <w:tblpPr w:leftFromText="180" w:rightFromText="180" w:vertAnchor="text" w:horzAnchor="margin" w:tblpY="441"/>
        <w:tblW w:w="10173" w:type="dxa"/>
        <w:tblInd w:w="0" w:type="dxa"/>
        <w:tblLayout w:type="autofit"/>
        <w:tblCellMar>
          <w:top w:w="0" w:type="dxa"/>
          <w:left w:w="108" w:type="dxa"/>
          <w:bottom w:w="0" w:type="dxa"/>
          <w:right w:w="108" w:type="dxa"/>
        </w:tblCellMar>
      </w:tblPr>
      <w:tblGrid>
        <w:gridCol w:w="2992"/>
        <w:gridCol w:w="2835"/>
        <w:gridCol w:w="1134"/>
        <w:gridCol w:w="3212"/>
      </w:tblGrid>
      <w:tr>
        <w:tblPrEx>
          <w:tblCellMar>
            <w:top w:w="0" w:type="dxa"/>
            <w:left w:w="108" w:type="dxa"/>
            <w:bottom w:w="0" w:type="dxa"/>
            <w:right w:w="108" w:type="dxa"/>
          </w:tblCellMar>
        </w:tblPrEx>
        <w:trPr>
          <w:trHeight w:val="416" w:hRule="atLeast"/>
        </w:trPr>
        <w:tc>
          <w:tcPr>
            <w:tcW w:w="5827"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46" w:type="dxa"/>
            <w:gridSpan w:val="2"/>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2835"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3212"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283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eastAsia="仿宋_GB2312"/>
                <w:color w:val="000000"/>
                <w:sz w:val="20"/>
                <w:szCs w:val="20"/>
              </w:rPr>
              <w:t>13746.1</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283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eastAsia="仿宋_GB2312"/>
                <w:color w:val="000000"/>
                <w:sz w:val="20"/>
                <w:szCs w:val="20"/>
              </w:rPr>
              <w:t>13746.1</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283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283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283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283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283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用事业基金弥补收支差额</w:t>
            </w:r>
          </w:p>
        </w:tc>
        <w:tc>
          <w:tcPr>
            <w:tcW w:w="283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1084.3</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837.98</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11171.12</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652.7</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2992" w:type="dxa"/>
            <w:tcBorders>
              <w:top w:val="nil"/>
              <w:left w:val="single" w:color="auto" w:sz="4" w:space="0"/>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835" w:type="dxa"/>
            <w:tcBorders>
              <w:top w:val="nil"/>
              <w:left w:val="nil"/>
              <w:bottom w:val="single" w:color="auto" w:sz="4" w:space="0"/>
              <w:right w:val="single" w:color="auto" w:sz="4" w:space="0"/>
            </w:tcBorders>
            <w:shd w:val="clear" w:color="auto" w:fill="auto"/>
            <w:noWrap/>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3212"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531" w:hRule="exact"/>
        </w:trPr>
        <w:tc>
          <w:tcPr>
            <w:tcW w:w="2992" w:type="dxa"/>
            <w:tcBorders>
              <w:top w:val="nil"/>
              <w:left w:val="single" w:color="auto" w:sz="4" w:space="0"/>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2835"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p>
        </w:tc>
        <w:tc>
          <w:tcPr>
            <w:tcW w:w="3212" w:type="dxa"/>
            <w:tcBorders>
              <w:top w:val="nil"/>
              <w:left w:val="nil"/>
              <w:bottom w:val="single" w:color="auto" w:sz="4" w:space="0"/>
              <w:right w:val="single" w:color="auto" w:sz="4" w:space="0"/>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60" w:hRule="atLeast"/>
        </w:trPr>
        <w:tc>
          <w:tcPr>
            <w:tcW w:w="2992" w:type="dxa"/>
            <w:tcBorders>
              <w:top w:val="nil"/>
              <w:left w:val="single" w:color="auto" w:sz="4" w:space="0"/>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color w:val="000000" w:themeColor="text1"/>
                <w:kern w:val="0"/>
                <w:sz w:val="20"/>
                <w:szCs w:val="20"/>
              </w:rPr>
            </w:pPr>
            <w:r>
              <w:rPr>
                <w:rFonts w:hint="eastAsia" w:ascii="仿宋_GB2312" w:hAnsi="宋体" w:eastAsia="仿宋_GB2312" w:cs="宋体"/>
                <w:color w:val="000000" w:themeColor="text1"/>
                <w:kern w:val="0"/>
                <w:sz w:val="18"/>
                <w:szCs w:val="18"/>
              </w:rPr>
              <w:t>单位上年结余（不包括国库集中支付额度结余）</w:t>
            </w:r>
          </w:p>
        </w:tc>
        <w:tc>
          <w:tcPr>
            <w:tcW w:w="2835"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kern w:val="0"/>
                <w:sz w:val="20"/>
                <w:szCs w:val="20"/>
              </w:rPr>
            </w:pPr>
          </w:p>
        </w:tc>
        <w:tc>
          <w:tcPr>
            <w:tcW w:w="321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65" w:hRule="atLeast"/>
        </w:trPr>
        <w:tc>
          <w:tcPr>
            <w:tcW w:w="2992" w:type="dxa"/>
            <w:tcBorders>
              <w:top w:val="nil"/>
              <w:left w:val="single" w:color="auto" w:sz="4" w:space="0"/>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rPr>
            </w:pPr>
            <w:r>
              <w:rPr>
                <w:rFonts w:hint="eastAsia" w:ascii="仿宋_GB2312" w:hAnsi="宋体" w:eastAsia="仿宋_GB2312" w:cs="宋体"/>
                <w:color w:val="000000" w:themeColor="text1"/>
                <w:kern w:val="0"/>
                <w:sz w:val="20"/>
                <w:szCs w:val="20"/>
              </w:rPr>
              <w:t>收  入  总  计</w:t>
            </w:r>
          </w:p>
        </w:tc>
        <w:tc>
          <w:tcPr>
            <w:tcW w:w="283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18"/>
                <w:szCs w:val="18"/>
              </w:rPr>
            </w:pPr>
            <w:r>
              <w:rPr>
                <w:rFonts w:hint="eastAsia" w:ascii="仿宋_GB2312" w:eastAsia="仿宋_GB2312"/>
                <w:color w:val="000000"/>
                <w:sz w:val="20"/>
                <w:szCs w:val="20"/>
              </w:rPr>
              <w:t>13746.1</w:t>
            </w:r>
          </w:p>
        </w:tc>
        <w:tc>
          <w:tcPr>
            <w:tcW w:w="1134"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321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kern w:val="0"/>
                <w:sz w:val="18"/>
                <w:szCs w:val="18"/>
              </w:rPr>
            </w:pPr>
            <w:r>
              <w:rPr>
                <w:rFonts w:hint="eastAsia" w:ascii="仿宋_GB2312" w:eastAsia="仿宋_GB2312"/>
                <w:color w:val="000000"/>
                <w:sz w:val="20"/>
                <w:szCs w:val="20"/>
              </w:rPr>
              <w:t>13746.1</w:t>
            </w:r>
          </w:p>
        </w:tc>
      </w:tr>
    </w:tbl>
    <w:p>
      <w:pPr>
        <w:widowControl/>
        <w:outlineLvl w:val="1"/>
        <w:rPr>
          <w:rFonts w:ascii="仿宋_GB2312" w:hAnsi="宋体" w:eastAsia="仿宋_GB2312"/>
          <w:b/>
          <w:kern w:val="0"/>
          <w:sz w:val="28"/>
          <w:szCs w:val="32"/>
        </w:rPr>
        <w:sectPr>
          <w:type w:val="continuous"/>
          <w:pgSz w:w="11907" w:h="16839"/>
          <w:pgMar w:top="1797" w:right="1440" w:bottom="1797" w:left="1440" w:header="851" w:footer="992" w:gutter="0"/>
          <w:pgNumType w:start="1"/>
          <w:cols w:space="720" w:num="1"/>
          <w:titlePg/>
          <w:docGrid w:type="lines" w:linePitch="312" w:charSpace="0"/>
        </w:sect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7"/>
        <w:tblpPr w:leftFromText="180" w:rightFromText="180" w:vertAnchor="text" w:horzAnchor="margin" w:tblpY="457"/>
        <w:tblW w:w="9654" w:type="dxa"/>
        <w:tblInd w:w="0" w:type="dxa"/>
        <w:tblLayout w:type="autofit"/>
        <w:tblCellMar>
          <w:top w:w="0" w:type="dxa"/>
          <w:left w:w="108" w:type="dxa"/>
          <w:bottom w:w="0" w:type="dxa"/>
          <w:right w:w="108" w:type="dxa"/>
        </w:tblCellMar>
      </w:tblPr>
      <w:tblGrid>
        <w:gridCol w:w="516"/>
        <w:gridCol w:w="417"/>
        <w:gridCol w:w="449"/>
        <w:gridCol w:w="1648"/>
        <w:gridCol w:w="1047"/>
        <w:gridCol w:w="993"/>
        <w:gridCol w:w="506"/>
        <w:gridCol w:w="680"/>
        <w:gridCol w:w="518"/>
        <w:gridCol w:w="567"/>
        <w:gridCol w:w="567"/>
        <w:gridCol w:w="709"/>
        <w:gridCol w:w="1037"/>
      </w:tblGrid>
      <w:tr>
        <w:tblPrEx>
          <w:tblCellMar>
            <w:top w:w="0" w:type="dxa"/>
            <w:left w:w="108" w:type="dxa"/>
            <w:bottom w:w="0" w:type="dxa"/>
            <w:right w:w="108" w:type="dxa"/>
          </w:tblCellMar>
        </w:tblPrEx>
        <w:trPr>
          <w:trHeight w:val="510" w:hRule="atLeast"/>
        </w:trPr>
        <w:tc>
          <w:tcPr>
            <w:tcW w:w="13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164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4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993"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50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51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56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56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709"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103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blPrEx>
          <w:tblCellMar>
            <w:top w:w="0" w:type="dxa"/>
            <w:left w:w="108" w:type="dxa"/>
            <w:bottom w:w="0" w:type="dxa"/>
            <w:right w:w="108" w:type="dxa"/>
          </w:tblCellMar>
        </w:tblPrEx>
        <w:trPr>
          <w:trHeight w:val="1870"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164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104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93"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0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1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09"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103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16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宋体" w:hAnsi="宋体" w:cs="宋体"/>
                <w:kern w:val="0"/>
                <w:sz w:val="18"/>
                <w:szCs w:val="18"/>
              </w:rPr>
              <w:t xml:space="preserve">   行政运行</w:t>
            </w:r>
            <w:r>
              <w:rPr>
                <w:rFonts w:hint="eastAsia" w:ascii="仿宋_GB2312" w:eastAsia="仿宋_GB2312"/>
                <w:color w:val="000000"/>
                <w:sz w:val="20"/>
                <w:szCs w:val="20"/>
              </w:rPr>
              <w:t>　</w:t>
            </w:r>
          </w:p>
        </w:tc>
        <w:tc>
          <w:tcPr>
            <w:tcW w:w="1047"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6435.12</w:t>
            </w:r>
          </w:p>
        </w:tc>
        <w:tc>
          <w:tcPr>
            <w:tcW w:w="993"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6435.12</w:t>
            </w:r>
          </w:p>
        </w:tc>
        <w:tc>
          <w:tcPr>
            <w:tcW w:w="506"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000000" w:fill="FFFFFF"/>
            <w:noWrap/>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16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医疗保险费　</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471.36</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471.36</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03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公务员医疗</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366.62</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366.62</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基本养老保险费　</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841.95</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841.95</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住房公积金</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652.7</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652.7</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离退休费</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242.35</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242.35</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08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自然资源行业业务管理</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686</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686</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99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r>
              <w:rPr>
                <w:rFonts w:hint="eastAsia" w:ascii="方正书宋_GBK" w:eastAsia="方正书宋_GBK"/>
                <w:szCs w:val="21"/>
              </w:rPr>
              <w:t>其他自然资源事务支出</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4050　</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4050　</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449"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1648" w:type="dxa"/>
            <w:tcBorders>
              <w:top w:val="nil"/>
              <w:left w:val="nil"/>
              <w:bottom w:val="single" w:color="auto" w:sz="4" w:space="0"/>
              <w:right w:val="single" w:color="auto" w:sz="4" w:space="0"/>
            </w:tcBorders>
            <w:shd w:val="clear" w:color="auto" w:fill="auto"/>
            <w:vAlign w:val="center"/>
          </w:tcPr>
          <w:p>
            <w:pPr>
              <w:rPr>
                <w:rFonts w:hint="eastAsia" w:ascii="仿宋_GB2312" w:eastAsia="仿宋_GB2312"/>
                <w:color w:val="000000"/>
                <w:sz w:val="20"/>
                <w:szCs w:val="20"/>
              </w:rPr>
            </w:pPr>
          </w:p>
        </w:tc>
        <w:tc>
          <w:tcPr>
            <w:tcW w:w="104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993"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06"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18"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6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6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709"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103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449"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1648" w:type="dxa"/>
            <w:tcBorders>
              <w:top w:val="nil"/>
              <w:left w:val="nil"/>
              <w:bottom w:val="single" w:color="auto" w:sz="4" w:space="0"/>
              <w:right w:val="single" w:color="auto" w:sz="4" w:space="0"/>
            </w:tcBorders>
            <w:shd w:val="clear" w:color="auto" w:fill="auto"/>
            <w:vAlign w:val="center"/>
          </w:tcPr>
          <w:p>
            <w:pPr>
              <w:rPr>
                <w:rFonts w:hint="eastAsia" w:ascii="仿宋_GB2312" w:eastAsia="仿宋_GB2312"/>
                <w:color w:val="000000"/>
                <w:sz w:val="20"/>
                <w:szCs w:val="20"/>
              </w:rPr>
            </w:pPr>
          </w:p>
        </w:tc>
        <w:tc>
          <w:tcPr>
            <w:tcW w:w="104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993"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06"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18"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6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6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709"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103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449"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1648" w:type="dxa"/>
            <w:tcBorders>
              <w:top w:val="nil"/>
              <w:left w:val="nil"/>
              <w:bottom w:val="single" w:color="auto" w:sz="4" w:space="0"/>
              <w:right w:val="single" w:color="auto" w:sz="4" w:space="0"/>
            </w:tcBorders>
            <w:shd w:val="clear" w:color="auto" w:fill="auto"/>
            <w:vAlign w:val="center"/>
          </w:tcPr>
          <w:p>
            <w:pPr>
              <w:rPr>
                <w:rFonts w:hint="eastAsia" w:ascii="仿宋_GB2312" w:eastAsia="仿宋_GB2312"/>
                <w:color w:val="000000"/>
                <w:sz w:val="20"/>
                <w:szCs w:val="20"/>
              </w:rPr>
            </w:pPr>
          </w:p>
        </w:tc>
        <w:tc>
          <w:tcPr>
            <w:tcW w:w="104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993"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06"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18"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6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56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709"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c>
          <w:tcPr>
            <w:tcW w:w="1037" w:type="dxa"/>
            <w:tcBorders>
              <w:top w:val="nil"/>
              <w:left w:val="nil"/>
              <w:bottom w:val="single" w:color="auto" w:sz="4" w:space="0"/>
              <w:right w:val="single" w:color="auto" w:sz="4" w:space="0"/>
            </w:tcBorders>
            <w:shd w:val="clear" w:color="auto" w:fill="auto"/>
            <w:vAlign w:val="center"/>
          </w:tcPr>
          <w:p>
            <w:pPr>
              <w:jc w:val="right"/>
              <w:rPr>
                <w:rFonts w:hint="eastAsia"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4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6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104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13746.1</w:t>
            </w:r>
          </w:p>
        </w:tc>
        <w:tc>
          <w:tcPr>
            <w:tcW w:w="99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13746.1</w:t>
            </w:r>
          </w:p>
        </w:tc>
        <w:tc>
          <w:tcPr>
            <w:tcW w:w="50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1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03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bl>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填报部门：自治区国土资源执法监察总队 （汇总）                单位:万元  </w:t>
      </w:r>
    </w:p>
    <w:p>
      <w:pPr>
        <w:widowControl/>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编制部门：自治区国土资源执法监察总队 （汇总）              单位：万元                                 </w:t>
      </w:r>
    </w:p>
    <w:tbl>
      <w:tblPr>
        <w:tblStyle w:val="7"/>
        <w:tblW w:w="9356" w:type="dxa"/>
        <w:tblInd w:w="-176" w:type="dxa"/>
        <w:tblLayout w:type="autofit"/>
        <w:tblCellMar>
          <w:top w:w="0" w:type="dxa"/>
          <w:left w:w="108" w:type="dxa"/>
          <w:bottom w:w="0" w:type="dxa"/>
          <w:right w:w="108" w:type="dxa"/>
        </w:tblCellMar>
      </w:tblPr>
      <w:tblGrid>
        <w:gridCol w:w="710"/>
        <w:gridCol w:w="567"/>
        <w:gridCol w:w="567"/>
        <w:gridCol w:w="2551"/>
        <w:gridCol w:w="1701"/>
        <w:gridCol w:w="1843"/>
        <w:gridCol w:w="1417"/>
      </w:tblGrid>
      <w:tr>
        <w:tblPrEx>
          <w:tblCellMar>
            <w:top w:w="0" w:type="dxa"/>
            <w:left w:w="108" w:type="dxa"/>
            <w:bottom w:w="0" w:type="dxa"/>
            <w:right w:w="108" w:type="dxa"/>
          </w:tblCellMar>
        </w:tblPrEx>
        <w:trPr>
          <w:trHeight w:val="345" w:hRule="atLeast"/>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4961"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trHeight w:val="480" w:hRule="atLeast"/>
        </w:trPr>
        <w:tc>
          <w:tcPr>
            <w:tcW w:w="184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55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4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41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55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41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55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宋体" w:hAnsi="宋体" w:cs="宋体"/>
                <w:kern w:val="0"/>
                <w:sz w:val="18"/>
                <w:szCs w:val="18"/>
              </w:rPr>
              <w:t xml:space="preserve">   行政运行</w:t>
            </w:r>
            <w:r>
              <w:rPr>
                <w:rFonts w:hint="eastAsia" w:ascii="仿宋_GB2312" w:eastAsia="仿宋_GB2312"/>
                <w:color w:val="000000"/>
                <w:sz w:val="20"/>
                <w:szCs w:val="20"/>
              </w:rPr>
              <w:t>　</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6435.12</w:t>
            </w:r>
          </w:p>
        </w:tc>
        <w:tc>
          <w:tcPr>
            <w:tcW w:w="18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6435.12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55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医疗保险费　</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471.36</w:t>
            </w:r>
          </w:p>
        </w:tc>
        <w:tc>
          <w:tcPr>
            <w:tcW w:w="18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471.36</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03　</w:t>
            </w:r>
          </w:p>
        </w:tc>
        <w:tc>
          <w:tcPr>
            <w:tcW w:w="2551"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公务员医疗</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366.62</w:t>
            </w:r>
          </w:p>
        </w:tc>
        <w:tc>
          <w:tcPr>
            <w:tcW w:w="18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366.62</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2551"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基本养老保险费　</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841.95</w:t>
            </w:r>
          </w:p>
        </w:tc>
        <w:tc>
          <w:tcPr>
            <w:tcW w:w="18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841.95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551"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住房公积金</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652.7</w:t>
            </w:r>
          </w:p>
        </w:tc>
        <w:tc>
          <w:tcPr>
            <w:tcW w:w="18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652.7</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551"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离退休费</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242.35</w:t>
            </w:r>
          </w:p>
        </w:tc>
        <w:tc>
          <w:tcPr>
            <w:tcW w:w="18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242.35</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08　</w:t>
            </w:r>
          </w:p>
        </w:tc>
        <w:tc>
          <w:tcPr>
            <w:tcW w:w="2551"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自然资源行业业务管理</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686</w:t>
            </w:r>
          </w:p>
        </w:tc>
        <w:tc>
          <w:tcPr>
            <w:tcW w:w="18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p>
        </w:tc>
        <w:tc>
          <w:tcPr>
            <w:tcW w:w="141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686</w:t>
            </w: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220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01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99　</w:t>
            </w:r>
          </w:p>
        </w:tc>
        <w:tc>
          <w:tcPr>
            <w:tcW w:w="2551" w:type="dxa"/>
            <w:tcBorders>
              <w:top w:val="nil"/>
              <w:left w:val="nil"/>
              <w:bottom w:val="single" w:color="auto" w:sz="4" w:space="0"/>
              <w:right w:val="single" w:color="auto" w:sz="4" w:space="0"/>
            </w:tcBorders>
            <w:shd w:val="clear" w:color="auto" w:fill="auto"/>
            <w:vAlign w:val="center"/>
          </w:tcPr>
          <w:p>
            <w:pPr>
              <w:rPr>
                <w:rFonts w:ascii="仿宋_GB2312" w:eastAsia="仿宋_GB2312"/>
                <w:color w:val="000000"/>
                <w:sz w:val="20"/>
                <w:szCs w:val="20"/>
              </w:rPr>
            </w:pPr>
            <w:r>
              <w:rPr>
                <w:rFonts w:hint="eastAsia" w:ascii="仿宋_GB2312" w:eastAsia="仿宋_GB2312"/>
                <w:color w:val="000000"/>
                <w:sz w:val="20"/>
                <w:szCs w:val="20"/>
              </w:rPr>
              <w:t>　其他自然资源事务支出</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4050</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4050</w:t>
            </w: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6"/>
                <w:szCs w:val="16"/>
              </w:rPr>
            </w:pP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6"/>
                <w:szCs w:val="16"/>
              </w:rPr>
            </w:pP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405" w:hRule="atLeast"/>
        </w:trPr>
        <w:tc>
          <w:tcPr>
            <w:tcW w:w="71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　</w:t>
            </w:r>
          </w:p>
        </w:tc>
        <w:tc>
          <w:tcPr>
            <w:tcW w:w="255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合计</w:t>
            </w:r>
          </w:p>
        </w:tc>
        <w:tc>
          <w:tcPr>
            <w:tcW w:w="170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13746.1</w:t>
            </w:r>
          </w:p>
        </w:tc>
        <w:tc>
          <w:tcPr>
            <w:tcW w:w="184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9010.1</w:t>
            </w:r>
          </w:p>
        </w:tc>
        <w:tc>
          <w:tcPr>
            <w:tcW w:w="141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4736</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outlineLvl w:val="1"/>
        <w:rPr>
          <w:rFonts w:hint="eastAsia" w:ascii="仿宋_GB2312" w:hAnsi="宋体" w:eastAsia="仿宋_GB2312"/>
          <w:b/>
          <w:kern w:val="0"/>
          <w:sz w:val="32"/>
          <w:szCs w:val="32"/>
        </w:rPr>
      </w:pPr>
    </w:p>
    <w:p>
      <w:pPr>
        <w:widowControl/>
        <w:outlineLvl w:val="1"/>
        <w:rPr>
          <w:rFonts w:hint="eastAsia" w:ascii="仿宋_GB2312" w:hAnsi="宋体" w:eastAsia="仿宋_GB2312"/>
          <w:b/>
          <w:kern w:val="0"/>
          <w:sz w:val="32"/>
          <w:szCs w:val="32"/>
        </w:rPr>
      </w:pPr>
    </w:p>
    <w:p>
      <w:pPr>
        <w:widowControl/>
        <w:outlineLvl w:val="1"/>
        <w:rPr>
          <w:rFonts w:ascii="仿宋_GB2312" w:hAnsi="宋体" w:eastAsia="仿宋_GB2312"/>
          <w:b/>
          <w:kern w:val="0"/>
          <w:sz w:val="28"/>
          <w:szCs w:val="32"/>
        </w:rPr>
      </w:pPr>
      <w:r>
        <w:rPr>
          <w:rFonts w:hint="eastAsia" w:ascii="仿宋_GB2312" w:hAnsi="宋体" w:eastAsia="仿宋_GB2312"/>
          <w:b/>
          <w:kern w:val="0"/>
          <w:sz w:val="32"/>
          <w:szCs w:val="32"/>
        </w:rPr>
        <w:t>表四：</w:t>
      </w:r>
    </w:p>
    <w:p>
      <w:pPr>
        <w:widowControl/>
        <w:spacing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outlineLvl w:val="1"/>
        <w:rPr>
          <w:rFonts w:ascii="仿宋_GB2312" w:hAnsi="宋体" w:eastAsia="仿宋_GB2312"/>
          <w:b/>
          <w:kern w:val="0"/>
          <w:sz w:val="32"/>
          <w:szCs w:val="32"/>
        </w:rPr>
      </w:pPr>
      <w:r>
        <w:rPr>
          <w:rFonts w:hint="eastAsia" w:ascii="仿宋_GB2312" w:hAnsi="宋体" w:eastAsia="仿宋_GB2312"/>
          <w:kern w:val="0"/>
          <w:sz w:val="28"/>
          <w:szCs w:val="28"/>
        </w:rPr>
        <w:t>编制部门：</w:t>
      </w:r>
      <w:r>
        <w:rPr>
          <w:rFonts w:hint="eastAsia" w:ascii="仿宋_GB2312" w:hAnsi="宋体" w:eastAsia="仿宋_GB2312"/>
          <w:kern w:val="0"/>
          <w:sz w:val="24"/>
        </w:rPr>
        <w:t xml:space="preserve">自治区国土资源执法监察总队 （汇总）  </w:t>
      </w:r>
      <w:r>
        <w:rPr>
          <w:rFonts w:hint="eastAsia" w:ascii="仿宋_GB2312" w:hAnsi="宋体" w:eastAsia="仿宋_GB2312"/>
          <w:kern w:val="0"/>
          <w:sz w:val="28"/>
          <w:szCs w:val="28"/>
        </w:rPr>
        <w:t xml:space="preserve">        单位：万元                                 </w:t>
      </w:r>
    </w:p>
    <w:tbl>
      <w:tblPr>
        <w:tblStyle w:val="7"/>
        <w:tblW w:w="8789" w:type="dxa"/>
        <w:tblInd w:w="250" w:type="dxa"/>
        <w:tblLayout w:type="fixed"/>
        <w:tblCellMar>
          <w:top w:w="0" w:type="dxa"/>
          <w:left w:w="108" w:type="dxa"/>
          <w:bottom w:w="0" w:type="dxa"/>
          <w:right w:w="108" w:type="dxa"/>
        </w:tblCellMar>
      </w:tblPr>
      <w:tblGrid>
        <w:gridCol w:w="1843"/>
        <w:gridCol w:w="1417"/>
        <w:gridCol w:w="2268"/>
        <w:gridCol w:w="993"/>
        <w:gridCol w:w="1134"/>
        <w:gridCol w:w="1134"/>
      </w:tblGrid>
      <w:tr>
        <w:tblPrEx>
          <w:tblCellMar>
            <w:top w:w="0" w:type="dxa"/>
            <w:left w:w="108" w:type="dxa"/>
            <w:bottom w:w="0" w:type="dxa"/>
            <w:right w:w="108" w:type="dxa"/>
          </w:tblCellMar>
        </w:tblPrEx>
        <w:trPr>
          <w:trHeight w:val="534" w:hRule="atLeast"/>
        </w:trPr>
        <w:tc>
          <w:tcPr>
            <w:tcW w:w="326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5529"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465" w:hRule="atLeast"/>
        </w:trPr>
        <w:tc>
          <w:tcPr>
            <w:tcW w:w="184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26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r>
      <w:tr>
        <w:tblPrEx>
          <w:tblCellMar>
            <w:top w:w="0" w:type="dxa"/>
            <w:left w:w="108" w:type="dxa"/>
            <w:bottom w:w="0" w:type="dxa"/>
            <w:right w:w="108" w:type="dxa"/>
          </w:tblCellMar>
        </w:tblPrEx>
        <w:trPr>
          <w:trHeight w:val="491"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13746.1</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88"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1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13746.1</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424"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1084.3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1084.3</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837.98</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837.98</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8"/>
                <w:szCs w:val="18"/>
              </w:rPr>
              <w:t>211 节能环保支出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11171.12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11171.12</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652.7</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652.7</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8"/>
                <w:szCs w:val="18"/>
              </w:rPr>
              <w:t>227 预备费</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r>
      <w:tr>
        <w:tblPrEx>
          <w:tblCellMar>
            <w:top w:w="0" w:type="dxa"/>
            <w:left w:w="108" w:type="dxa"/>
            <w:bottom w:w="0" w:type="dxa"/>
            <w:right w:w="108" w:type="dxa"/>
          </w:tblCellMar>
        </w:tblPrEx>
        <w:trPr>
          <w:trHeight w:val="312"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shd w:val="clear" w:color="auto" w:fill="auto"/>
            <w:noWrap/>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591" w:hRule="exact"/>
        </w:trPr>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93"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eastAsia="仿宋_GB2312"/>
                <w:color w:val="000000"/>
                <w:sz w:val="20"/>
                <w:szCs w:val="20"/>
              </w:rPr>
              <w:t>13746.1</w:t>
            </w: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eastAsia="仿宋_GB2312"/>
                <w:color w:val="000000"/>
                <w:sz w:val="20"/>
                <w:szCs w:val="20"/>
              </w:rPr>
              <w:t>13746.1</w:t>
            </w:r>
            <w:r>
              <w:rPr>
                <w:rFonts w:hint="eastAsia" w:ascii="仿宋_GB2312" w:hAnsi="宋体" w:eastAsia="仿宋_GB2312" w:cs="宋体"/>
                <w:kern w:val="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Style w:val="7"/>
        <w:tblW w:w="9151" w:type="dxa"/>
        <w:tblInd w:w="108" w:type="dxa"/>
        <w:tblLayout w:type="autofit"/>
        <w:tblCellMar>
          <w:top w:w="0" w:type="dxa"/>
          <w:left w:w="108" w:type="dxa"/>
          <w:bottom w:w="0" w:type="dxa"/>
          <w:right w:w="108" w:type="dxa"/>
        </w:tblCellMar>
      </w:tblPr>
      <w:tblGrid>
        <w:gridCol w:w="709"/>
        <w:gridCol w:w="567"/>
        <w:gridCol w:w="709"/>
        <w:gridCol w:w="2646"/>
        <w:gridCol w:w="236"/>
        <w:gridCol w:w="1240"/>
        <w:gridCol w:w="1548"/>
        <w:gridCol w:w="1134"/>
        <w:gridCol w:w="142"/>
        <w:gridCol w:w="220"/>
      </w:tblGrid>
      <w:tr>
        <w:tblPrEx>
          <w:tblCellMar>
            <w:top w:w="0" w:type="dxa"/>
            <w:left w:w="108" w:type="dxa"/>
            <w:bottom w:w="0" w:type="dxa"/>
            <w:right w:w="108" w:type="dxa"/>
          </w:tblCellMar>
        </w:tblPrEx>
        <w:trPr>
          <w:gridAfter w:val="2"/>
          <w:wAfter w:w="362" w:type="dxa"/>
          <w:trHeight w:val="450" w:hRule="atLeast"/>
        </w:trPr>
        <w:tc>
          <w:tcPr>
            <w:tcW w:w="8789" w:type="dxa"/>
            <w:gridSpan w:val="8"/>
            <w:tcBorders>
              <w:top w:val="nil"/>
              <w:left w:val="nil"/>
              <w:bottom w:val="nil"/>
              <w:right w:val="nil"/>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631" w:type="dxa"/>
            <w:gridSpan w:val="4"/>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自治区国土资源执法监察总队 （汇总）</w:t>
            </w:r>
          </w:p>
        </w:tc>
        <w:tc>
          <w:tcPr>
            <w:tcW w:w="236" w:type="dxa"/>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p>
        </w:tc>
        <w:tc>
          <w:tcPr>
            <w:tcW w:w="1240" w:type="dxa"/>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044" w:type="dxa"/>
            <w:gridSpan w:val="4"/>
            <w:tcBorders>
              <w:top w:val="nil"/>
              <w:left w:val="nil"/>
              <w:bottom w:val="nil"/>
              <w:right w:val="nil"/>
            </w:tcBorders>
            <w:shd w:val="clear" w:color="auto" w:fill="auto"/>
            <w:noWrap/>
            <w:vAlign w:val="center"/>
          </w:tcPr>
          <w:p>
            <w:pPr>
              <w:widowControl/>
              <w:ind w:right="360"/>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gridAfter w:val="1"/>
          <w:wAfter w:w="220" w:type="dxa"/>
          <w:trHeight w:val="405" w:hRule="atLeast"/>
        </w:trPr>
        <w:tc>
          <w:tcPr>
            <w:tcW w:w="4631"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430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blPrEx>
          <w:tblCellMar>
            <w:top w:w="0" w:type="dxa"/>
            <w:left w:w="108" w:type="dxa"/>
            <w:bottom w:w="0" w:type="dxa"/>
            <w:right w:w="108" w:type="dxa"/>
          </w:tblCellMar>
        </w:tblPrEx>
        <w:trPr>
          <w:gridAfter w:val="1"/>
          <w:wAfter w:w="220" w:type="dxa"/>
          <w:trHeight w:val="465" w:hRule="atLeast"/>
        </w:trPr>
        <w:tc>
          <w:tcPr>
            <w:tcW w:w="198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64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47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54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27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gridAfter w:val="1"/>
          <w:wAfter w:w="220" w:type="dxa"/>
          <w:trHeight w:val="459"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64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47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548"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27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646"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宋体" w:hAnsi="宋体" w:cs="宋体"/>
                <w:kern w:val="0"/>
                <w:sz w:val="18"/>
                <w:szCs w:val="18"/>
              </w:rPr>
              <w:t xml:space="preserve">   行政运行</w:t>
            </w:r>
            <w:r>
              <w:rPr>
                <w:rFonts w:hint="eastAsia" w:ascii="仿宋_GB2312" w:eastAsia="仿宋_GB2312"/>
                <w:color w:val="000000"/>
                <w:sz w:val="20"/>
                <w:szCs w:val="20"/>
              </w:rPr>
              <w:t>　</w:t>
            </w:r>
          </w:p>
        </w:tc>
        <w:tc>
          <w:tcPr>
            <w:tcW w:w="14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6435.12</w:t>
            </w:r>
          </w:p>
        </w:tc>
        <w:tc>
          <w:tcPr>
            <w:tcW w:w="15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6435.12</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646"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医疗保险费　</w:t>
            </w:r>
          </w:p>
        </w:tc>
        <w:tc>
          <w:tcPr>
            <w:tcW w:w="14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471.36</w:t>
            </w:r>
          </w:p>
        </w:tc>
        <w:tc>
          <w:tcPr>
            <w:tcW w:w="15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471.36</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03　</w:t>
            </w:r>
          </w:p>
        </w:tc>
        <w:tc>
          <w:tcPr>
            <w:tcW w:w="264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公务员医疗</w:t>
            </w:r>
          </w:p>
        </w:tc>
        <w:tc>
          <w:tcPr>
            <w:tcW w:w="14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366.62</w:t>
            </w:r>
          </w:p>
        </w:tc>
        <w:tc>
          <w:tcPr>
            <w:tcW w:w="15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366.62</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264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基本养老保险费　</w:t>
            </w:r>
          </w:p>
        </w:tc>
        <w:tc>
          <w:tcPr>
            <w:tcW w:w="14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841.95</w:t>
            </w:r>
          </w:p>
        </w:tc>
        <w:tc>
          <w:tcPr>
            <w:tcW w:w="15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841.95</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64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住房公积金</w:t>
            </w:r>
          </w:p>
        </w:tc>
        <w:tc>
          <w:tcPr>
            <w:tcW w:w="14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652.7</w:t>
            </w:r>
          </w:p>
        </w:tc>
        <w:tc>
          <w:tcPr>
            <w:tcW w:w="15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652.7</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264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离退休费</w:t>
            </w:r>
          </w:p>
        </w:tc>
        <w:tc>
          <w:tcPr>
            <w:tcW w:w="14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242.35</w:t>
            </w:r>
          </w:p>
        </w:tc>
        <w:tc>
          <w:tcPr>
            <w:tcW w:w="15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242.35</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08　</w:t>
            </w:r>
          </w:p>
        </w:tc>
        <w:tc>
          <w:tcPr>
            <w:tcW w:w="264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自然资源行业业务管理</w:t>
            </w:r>
          </w:p>
        </w:tc>
        <w:tc>
          <w:tcPr>
            <w:tcW w:w="14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686</w:t>
            </w:r>
          </w:p>
        </w:tc>
        <w:tc>
          <w:tcPr>
            <w:tcW w:w="154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p>
        </w:tc>
        <w:tc>
          <w:tcPr>
            <w:tcW w:w="12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686</w:t>
            </w: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220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　</w:t>
            </w:r>
          </w:p>
        </w:tc>
        <w:tc>
          <w:tcPr>
            <w:tcW w:w="70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99　</w:t>
            </w:r>
          </w:p>
        </w:tc>
        <w:tc>
          <w:tcPr>
            <w:tcW w:w="264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r>
              <w:rPr>
                <w:rFonts w:hint="eastAsia" w:ascii="方正书宋_GBK" w:eastAsia="方正书宋_GBK"/>
                <w:szCs w:val="21"/>
              </w:rPr>
              <w:t>其他自然资源事务支出</w:t>
            </w:r>
          </w:p>
        </w:tc>
        <w:tc>
          <w:tcPr>
            <w:tcW w:w="14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4050</w:t>
            </w: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4050</w:t>
            </w: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6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6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6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6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45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4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5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2"/>
                <w:szCs w:val="22"/>
              </w:rPr>
            </w:pPr>
          </w:p>
        </w:tc>
      </w:tr>
      <w:tr>
        <w:tblPrEx>
          <w:tblCellMar>
            <w:top w:w="0" w:type="dxa"/>
            <w:left w:w="108" w:type="dxa"/>
            <w:bottom w:w="0" w:type="dxa"/>
            <w:right w:w="108" w:type="dxa"/>
          </w:tblCellMar>
        </w:tblPrEx>
        <w:trPr>
          <w:gridAfter w:val="1"/>
          <w:wAfter w:w="220" w:type="dxa"/>
          <w:trHeight w:val="571"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70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476"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13746.1　</w:t>
            </w:r>
          </w:p>
        </w:tc>
        <w:tc>
          <w:tcPr>
            <w:tcW w:w="154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9010.1</w:t>
            </w:r>
          </w:p>
        </w:tc>
        <w:tc>
          <w:tcPr>
            <w:tcW w:w="1276"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4736</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表六：</w:t>
      </w:r>
    </w:p>
    <w:tbl>
      <w:tblPr>
        <w:tblStyle w:val="7"/>
        <w:tblW w:w="9403" w:type="dxa"/>
        <w:tblInd w:w="-148" w:type="dxa"/>
        <w:tblLayout w:type="autofit"/>
        <w:tblCellMar>
          <w:top w:w="0" w:type="dxa"/>
          <w:left w:w="108" w:type="dxa"/>
          <w:bottom w:w="0" w:type="dxa"/>
          <w:right w:w="108" w:type="dxa"/>
        </w:tblCellMar>
      </w:tblPr>
      <w:tblGrid>
        <w:gridCol w:w="832"/>
        <w:gridCol w:w="700"/>
        <w:gridCol w:w="3119"/>
        <w:gridCol w:w="644"/>
        <w:gridCol w:w="706"/>
        <w:gridCol w:w="976"/>
        <w:gridCol w:w="725"/>
        <w:gridCol w:w="1701"/>
      </w:tblGrid>
      <w:tr>
        <w:tblPrEx>
          <w:tblCellMar>
            <w:top w:w="0" w:type="dxa"/>
            <w:left w:w="108" w:type="dxa"/>
            <w:bottom w:w="0" w:type="dxa"/>
            <w:right w:w="108" w:type="dxa"/>
          </w:tblCellMar>
        </w:tblPrEx>
        <w:trPr>
          <w:trHeight w:val="375" w:hRule="atLeast"/>
        </w:trPr>
        <w:tc>
          <w:tcPr>
            <w:tcW w:w="9403" w:type="dxa"/>
            <w:gridSpan w:val="8"/>
            <w:tcBorders>
              <w:top w:val="nil"/>
              <w:left w:val="nil"/>
              <w:bottom w:val="nil"/>
              <w:right w:val="nil"/>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651" w:type="dxa"/>
            <w:gridSpan w:val="3"/>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自治区国土资源执法监察总队 （汇总）</w:t>
            </w:r>
          </w:p>
        </w:tc>
        <w:tc>
          <w:tcPr>
            <w:tcW w:w="644" w:type="dxa"/>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2"/>
            <w:tcBorders>
              <w:top w:val="nil"/>
              <w:left w:val="nil"/>
              <w:bottom w:val="nil"/>
              <w:right w:val="nil"/>
            </w:tcBorders>
            <w:shd w:val="clear" w:color="auto" w:fill="auto"/>
            <w:noWrap/>
            <w:vAlign w:val="center"/>
          </w:tcPr>
          <w:p>
            <w:pPr>
              <w:widowControl/>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390" w:hRule="atLeast"/>
        </w:trPr>
        <w:tc>
          <w:tcPr>
            <w:tcW w:w="4651"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4752"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CellMar>
            <w:top w:w="0" w:type="dxa"/>
            <w:left w:w="108" w:type="dxa"/>
            <w:bottom w:w="0" w:type="dxa"/>
            <w:right w:w="108" w:type="dxa"/>
          </w:tblCellMar>
        </w:tblPrEx>
        <w:trPr>
          <w:trHeight w:val="495" w:hRule="atLeast"/>
        </w:trPr>
        <w:tc>
          <w:tcPr>
            <w:tcW w:w="1532"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311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350"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小计</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CellMar>
            <w:top w:w="0" w:type="dxa"/>
            <w:left w:w="108" w:type="dxa"/>
            <w:bottom w:w="0" w:type="dxa"/>
            <w:right w:w="108" w:type="dxa"/>
          </w:tblCellMar>
        </w:tblPrEx>
        <w:trPr>
          <w:trHeight w:val="270"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311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35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hint="eastAsia" w:ascii="方正书宋_GBK" w:eastAsia="方正书宋_GBK"/>
              </w:rPr>
              <w:t>一、工资福利支出</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7963.31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7963.31</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、工资、津贴、奖金</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5444.92</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5444.92</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1</w:t>
            </w:r>
            <w:r>
              <w:rPr>
                <w:rFonts w:hint="eastAsia" w:ascii="方正书宋_GBK" w:eastAsia="方正书宋_GBK"/>
              </w:rPr>
              <w:t>）基本工资</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2458.93</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2458.93</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）统发基本工资</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160.86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160.86</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）未统发基本工资</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2298.07</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2298.07</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2</w:t>
            </w:r>
            <w:r>
              <w:rPr>
                <w:rFonts w:hint="eastAsia" w:ascii="方正书宋_GBK" w:eastAsia="方正书宋_GBK"/>
              </w:rPr>
              <w:t>）国家规定津补贴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736.01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736.01</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）统发国家规定津补贴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15.21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15.21</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）未统发国家规定津补贴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720.8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720.8</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3</w:t>
            </w:r>
            <w:r>
              <w:rPr>
                <w:rFonts w:hint="eastAsia" w:ascii="方正书宋_GBK" w:eastAsia="方正书宋_GBK"/>
              </w:rPr>
              <w:t>）保留地方津贴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269.28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269.28</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）统发保留地方津贴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15.56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15.56</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）未统发保留地方津贴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253.72</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253.72</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4</w:t>
            </w:r>
            <w:r>
              <w:rPr>
                <w:rFonts w:hint="eastAsia" w:ascii="方正书宋_GBK" w:eastAsia="方正书宋_GBK"/>
              </w:rPr>
              <w:t>）地方津贴补贴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1775.75</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1775.75</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）统发地方津贴补贴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94.96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94.96</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）未统发地方津贴补贴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1680.79</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1680.79</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5</w:t>
            </w:r>
            <w:r>
              <w:rPr>
                <w:rFonts w:hint="eastAsia" w:ascii="方正书宋_GBK" w:eastAsia="方正书宋_GBK"/>
              </w:rPr>
              <w:t>）年终一次性奖金</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204.95</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204.95</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w:t>
            </w:r>
            <w:r>
              <w:rPr>
                <w:rFonts w:hint="eastAsia" w:ascii="方正书宋_GBK" w:eastAsia="方正书宋_GBK"/>
              </w:rPr>
              <w:t>3</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）统发年终一次性奖金</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13.41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13.41</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0</w:t>
            </w:r>
            <w:r>
              <w:rPr>
                <w:rFonts w:hint="eastAsia" w:ascii="方正书宋_GBK" w:eastAsia="方正书宋_GBK"/>
              </w:rPr>
              <w:t>3</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）未统发年终一次性奖金</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191.54</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191.54</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6</w:t>
            </w:r>
            <w:r>
              <w:rPr>
                <w:rFonts w:hint="eastAsia" w:ascii="方正书宋_GBK" w:eastAsia="方正书宋_GBK"/>
              </w:rPr>
              <w:t>）绩效工资</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07</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）统发绩效工资</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07</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）未统发绩效工资</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10</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、职工基本医疗保险缴费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471.36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471.36</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11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3</w:t>
            </w:r>
            <w:r>
              <w:rPr>
                <w:rFonts w:hint="eastAsia" w:ascii="方正书宋_GBK" w:eastAsia="方正书宋_GBK"/>
              </w:rPr>
              <w:t>、公务员医疗补助</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366.62</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366.62</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4</w:t>
            </w:r>
            <w:r>
              <w:rPr>
                <w:rFonts w:hint="eastAsia" w:ascii="方正书宋_GBK" w:eastAsia="方正书宋_GBK"/>
              </w:rPr>
              <w:t>、其他社会保障缴费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28.66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28.66</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12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1</w:t>
            </w:r>
            <w:r>
              <w:rPr>
                <w:rFonts w:hint="eastAsia" w:ascii="方正书宋_GBK" w:eastAsia="方正书宋_GBK"/>
              </w:rPr>
              <w:t>）生育保险</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27.71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27.71</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12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2</w:t>
            </w:r>
            <w:r>
              <w:rPr>
                <w:rFonts w:hint="eastAsia" w:ascii="方正书宋_GBK" w:eastAsia="方正书宋_GBK"/>
              </w:rPr>
              <w:t>）失业保险</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0.95</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0.95</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10</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5</w:t>
            </w:r>
            <w:r>
              <w:rPr>
                <w:rFonts w:hint="eastAsia" w:ascii="方正书宋_GBK" w:eastAsia="方正书宋_GBK"/>
              </w:rPr>
              <w:t>、养老保险</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841.95</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841.95</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13</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6</w:t>
            </w:r>
            <w:r>
              <w:rPr>
                <w:rFonts w:hint="eastAsia" w:ascii="方正书宋_GBK" w:eastAsia="方正书宋_GBK"/>
              </w:rPr>
              <w:t>、住房公积金</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652.7</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652.7</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09</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7</w:t>
            </w:r>
            <w:r>
              <w:rPr>
                <w:rFonts w:hint="eastAsia" w:ascii="方正书宋_GBK" w:eastAsia="方正书宋_GBK"/>
              </w:rPr>
              <w:t>、职业年金</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301</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ascii="方正书宋_GBK" w:eastAsia="方正书宋_GBK"/>
              </w:rPr>
              <w:t>99</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8</w:t>
            </w:r>
            <w:r>
              <w:rPr>
                <w:rFonts w:hint="eastAsia" w:ascii="方正书宋_GBK" w:eastAsia="方正书宋_GBK"/>
              </w:rPr>
              <w:t>、其他工资福利支出</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157.1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157.1</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hint="eastAsia" w:ascii="方正书宋_GBK" w:eastAsia="方正书宋_GBK"/>
              </w:rPr>
              <w:t>二、对个人和家庭补助</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242.35</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242.35</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、离休费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1</w:t>
            </w:r>
            <w:r>
              <w:rPr>
                <w:rFonts w:hint="eastAsia" w:ascii="方正书宋_GBK" w:eastAsia="方正书宋_GBK"/>
              </w:rPr>
              <w:t>）基本离休费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）统发离休费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）未统发离休费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w:t>
            </w:r>
            <w:r>
              <w:rPr>
                <w:rFonts w:hint="eastAsia" w:ascii="方正书宋_GBK" w:eastAsia="方正书宋_GBK"/>
              </w:rPr>
              <w:t>（</w:t>
            </w:r>
            <w:r>
              <w:rPr>
                <w:rFonts w:ascii="方正书宋_GBK" w:eastAsia="方正书宋_GBK"/>
              </w:rPr>
              <w:t>2</w:t>
            </w:r>
            <w:r>
              <w:rPr>
                <w:rFonts w:hint="eastAsia" w:ascii="方正书宋_GBK" w:eastAsia="方正书宋_GBK"/>
              </w:rPr>
              <w:t>）离休人员地方津贴补贴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1</w:t>
            </w:r>
            <w:r>
              <w:rPr>
                <w:rFonts w:hint="eastAsia" w:ascii="方正书宋_GBK" w:eastAsia="方正书宋_GBK"/>
              </w:rPr>
              <w:t>）统发地方津贴补贴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）未统发地方津贴补贴</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2</w:t>
            </w:r>
            <w:r>
              <w:rPr>
                <w:rFonts w:hint="eastAsia" w:ascii="方正书宋_GBK" w:eastAsia="方正书宋_GBK"/>
              </w:rPr>
              <w:t>、退休人员生活补助</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37.96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37.96</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07</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3</w:t>
            </w:r>
            <w:r>
              <w:rPr>
                <w:rFonts w:hint="eastAsia" w:ascii="方正书宋_GBK" w:eastAsia="方正书宋_GBK"/>
              </w:rPr>
              <w:t>、医疗费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181.71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181.71</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303</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ascii="方正书宋_GBK" w:eastAsia="方正书宋_GBK"/>
              </w:rPr>
              <w:t>99</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 xml:space="preserve">  4</w:t>
            </w:r>
            <w:r>
              <w:rPr>
                <w:rFonts w:hint="eastAsia" w:ascii="方正书宋_GBK" w:eastAsia="方正书宋_GBK"/>
              </w:rPr>
              <w:t>、其他对个人和家庭补助支出</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22.68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22.68</w:t>
            </w:r>
          </w:p>
        </w:tc>
        <w:tc>
          <w:tcPr>
            <w:tcW w:w="170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方正书宋_GBK" w:eastAsia="方正书宋_GBK"/>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hint="eastAsia" w:ascii="方正书宋_GBK" w:eastAsia="方正书宋_GBK"/>
              </w:rPr>
              <w:t>三、日常公用经费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804.44</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804.44</w:t>
            </w: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方正书宋_GBK" w:eastAsia="方正书宋_GBK"/>
              </w:rPr>
            </w:pPr>
            <w:r>
              <w:rPr>
                <w:rFonts w:ascii="方正书宋_GBK" w:eastAsia="方正书宋_GBK"/>
              </w:rPr>
              <w:t>01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、办公费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64.22</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64.22</w:t>
            </w: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vAlign w:val="center"/>
          </w:tcPr>
          <w:p>
            <w:pPr>
              <w:spacing w:line="300" w:lineRule="exact"/>
              <w:jc w:val="center"/>
              <w:rPr>
                <w:rFonts w:ascii="方正书宋_GBK" w:eastAsia="方正书宋_GBK"/>
              </w:rPr>
            </w:pPr>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方正书宋_GBK" w:eastAsia="方正书宋_GBK"/>
              </w:rPr>
            </w:pPr>
            <w:r>
              <w:rPr>
                <w:rFonts w:hint="eastAsia" w:ascii="方正书宋_GBK" w:eastAsia="方正书宋_GBK"/>
              </w:rPr>
              <w:t>02</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、印刷费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方正书宋_GBK" w:eastAsia="方正书宋_GBK"/>
              </w:rPr>
            </w:pPr>
            <w:r>
              <w:rPr>
                <w:rFonts w:hint="eastAsia" w:ascii="方正书宋_GBK" w:eastAsia="方正书宋_GBK"/>
              </w:rPr>
              <w:t>05</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3</w:t>
            </w:r>
            <w:r>
              <w:rPr>
                <w:rFonts w:hint="eastAsia" w:ascii="方正书宋_GBK" w:eastAsia="方正书宋_GBK"/>
              </w:rPr>
              <w:t>、水费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42.31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42.31</w:t>
            </w:r>
          </w:p>
        </w:tc>
      </w:tr>
      <w:tr>
        <w:tblPrEx>
          <w:tblCellMar>
            <w:top w:w="0" w:type="dxa"/>
            <w:left w:w="108" w:type="dxa"/>
            <w:bottom w:w="0" w:type="dxa"/>
            <w:right w:w="108" w:type="dxa"/>
          </w:tblCellMar>
        </w:tblPrEx>
        <w:trPr>
          <w:trHeight w:val="402" w:hRule="atLeast"/>
        </w:trPr>
        <w:tc>
          <w:tcPr>
            <w:tcW w:w="832" w:type="dxa"/>
            <w:tcBorders>
              <w:top w:val="nil"/>
              <w:left w:val="single" w:color="auto" w:sz="4" w:space="0"/>
              <w:bottom w:val="nil"/>
              <w:right w:val="single" w:color="auto" w:sz="4" w:space="0"/>
            </w:tcBorders>
            <w:shd w:val="clear" w:color="auto" w:fill="auto"/>
          </w:tcPr>
          <w:p>
            <w:r>
              <w:rPr>
                <w:rFonts w:ascii="方正书宋_GBK" w:eastAsia="方正书宋_GBK"/>
              </w:rPr>
              <w:t>302</w:t>
            </w:r>
          </w:p>
        </w:tc>
        <w:tc>
          <w:tcPr>
            <w:tcW w:w="700" w:type="dxa"/>
            <w:tcBorders>
              <w:top w:val="nil"/>
              <w:left w:val="nil"/>
              <w:bottom w:val="nil"/>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06</w:t>
            </w:r>
          </w:p>
        </w:tc>
        <w:tc>
          <w:tcPr>
            <w:tcW w:w="3119" w:type="dxa"/>
            <w:tcBorders>
              <w:top w:val="nil"/>
              <w:left w:val="nil"/>
              <w:bottom w:val="nil"/>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4</w:t>
            </w:r>
            <w:r>
              <w:rPr>
                <w:rFonts w:hint="eastAsia" w:ascii="方正书宋_GBK" w:eastAsia="方正书宋_GBK"/>
              </w:rPr>
              <w:t>、电费</w:t>
            </w:r>
          </w:p>
        </w:tc>
        <w:tc>
          <w:tcPr>
            <w:tcW w:w="1350" w:type="dxa"/>
            <w:gridSpan w:val="2"/>
            <w:tcBorders>
              <w:top w:val="nil"/>
              <w:left w:val="nil"/>
              <w:bottom w:val="nil"/>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0.5</w:t>
            </w:r>
          </w:p>
        </w:tc>
        <w:tc>
          <w:tcPr>
            <w:tcW w:w="1701" w:type="dxa"/>
            <w:gridSpan w:val="2"/>
            <w:tcBorders>
              <w:top w:val="nil"/>
              <w:left w:val="nil"/>
              <w:bottom w:val="nil"/>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nil"/>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0.5</w:t>
            </w:r>
          </w:p>
        </w:tc>
      </w:tr>
      <w:tr>
        <w:tblPrEx>
          <w:tblCellMar>
            <w:top w:w="0" w:type="dxa"/>
            <w:left w:w="108" w:type="dxa"/>
            <w:bottom w:w="0" w:type="dxa"/>
            <w:right w:w="108" w:type="dxa"/>
          </w:tblCellMar>
        </w:tblPrEx>
        <w:trPr>
          <w:trHeight w:val="268" w:hRule="atLeast"/>
        </w:trPr>
        <w:tc>
          <w:tcPr>
            <w:tcW w:w="832" w:type="dxa"/>
            <w:tcBorders>
              <w:top w:val="nil"/>
              <w:left w:val="single" w:color="auto" w:sz="4" w:space="0"/>
              <w:bottom w:val="single" w:color="auto" w:sz="4" w:space="0"/>
              <w:right w:val="single" w:color="auto" w:sz="4" w:space="0"/>
            </w:tcBorders>
            <w:shd w:val="clear" w:color="auto" w:fill="auto"/>
          </w:tc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07</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5</w:t>
            </w:r>
            <w:r>
              <w:rPr>
                <w:rFonts w:hint="eastAsia" w:ascii="方正书宋_GBK" w:eastAsia="方正书宋_GBK"/>
              </w:rPr>
              <w:t>、邮电费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26.11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26.11</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08</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6</w:t>
            </w:r>
            <w:r>
              <w:rPr>
                <w:rFonts w:hint="eastAsia" w:ascii="方正书宋_GBK" w:eastAsia="方正书宋_GBK"/>
              </w:rPr>
              <w:t>、取暖费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109.81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109.81</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7</w:t>
            </w:r>
            <w:r>
              <w:rPr>
                <w:rFonts w:hint="eastAsia" w:ascii="方正书宋_GBK" w:eastAsia="方正书宋_GBK"/>
              </w:rPr>
              <w:t>、公务用车运行维护费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7.44</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7.44</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11</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8</w:t>
            </w:r>
            <w:r>
              <w:rPr>
                <w:rFonts w:hint="eastAsia" w:ascii="方正书宋_GBK" w:eastAsia="方正书宋_GBK"/>
              </w:rPr>
              <w:t>、差旅费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188.48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188.48</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15</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9</w:t>
            </w:r>
            <w:r>
              <w:rPr>
                <w:rFonts w:hint="eastAsia" w:ascii="方正书宋_GBK" w:eastAsia="方正书宋_GBK"/>
              </w:rPr>
              <w:t>、会议费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09</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10</w:t>
            </w:r>
            <w:r>
              <w:rPr>
                <w:rFonts w:hint="eastAsia" w:ascii="方正书宋_GBK" w:eastAsia="方正书宋_GBK"/>
              </w:rPr>
              <w:t>、物业管理费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0.26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0.26</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16</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11</w:t>
            </w:r>
            <w:r>
              <w:rPr>
                <w:rFonts w:hint="eastAsia" w:ascii="方正书宋_GBK" w:eastAsia="方正书宋_GBK"/>
              </w:rPr>
              <w:t>、培训费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17</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12</w:t>
            </w:r>
            <w:r>
              <w:rPr>
                <w:rFonts w:hint="eastAsia" w:ascii="方正书宋_GBK" w:eastAsia="方正书宋_GBK"/>
              </w:rPr>
              <w:t>、公务接待费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0.31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0.31</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28</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13</w:t>
            </w:r>
            <w:r>
              <w:rPr>
                <w:rFonts w:hint="eastAsia" w:ascii="方正书宋_GBK" w:eastAsia="方正书宋_GBK"/>
              </w:rPr>
              <w:t>、工会经费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69.32</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69.32</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29</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14</w:t>
            </w:r>
            <w:r>
              <w:rPr>
                <w:rFonts w:hint="eastAsia" w:ascii="方正书宋_GBK" w:eastAsia="方正书宋_GBK"/>
              </w:rPr>
              <w:t>、福利费</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62.41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62.41</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39</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15</w:t>
            </w:r>
            <w:r>
              <w:rPr>
                <w:rFonts w:hint="eastAsia" w:ascii="方正书宋_GBK" w:eastAsia="方正书宋_GBK"/>
              </w:rPr>
              <w:t>、其他交通费用</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225.54</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225.54</w:t>
            </w:r>
          </w:p>
        </w:tc>
      </w:tr>
      <w:tr>
        <w:tblPrEx>
          <w:tblCellMar>
            <w:top w:w="0" w:type="dxa"/>
            <w:left w:w="108" w:type="dxa"/>
            <w:bottom w:w="0" w:type="dxa"/>
            <w:right w:w="108" w:type="dxa"/>
          </w:tblCellMar>
        </w:tblPrEx>
        <w:trPr>
          <w:trHeight w:val="126" w:hRule="atLeast"/>
        </w:trPr>
        <w:tc>
          <w:tcPr>
            <w:tcW w:w="832" w:type="dxa"/>
            <w:tcBorders>
              <w:top w:val="nil"/>
              <w:left w:val="single" w:color="auto" w:sz="4" w:space="0"/>
              <w:bottom w:val="single" w:color="auto" w:sz="4" w:space="0"/>
              <w:right w:val="single" w:color="auto" w:sz="4" w:space="0"/>
            </w:tcBorders>
            <w:shd w:val="clear" w:color="auto" w:fill="auto"/>
          </w:tcPr>
          <w:p>
            <w:r>
              <w:rPr>
                <w:rFonts w:ascii="方正书宋_GBK" w:eastAsia="方正书宋_GBK"/>
              </w:rPr>
              <w:t>302</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99</w:t>
            </w:r>
          </w:p>
        </w:tc>
        <w:tc>
          <w:tcPr>
            <w:tcW w:w="3119" w:type="dxa"/>
            <w:tcBorders>
              <w:top w:val="nil"/>
              <w:left w:val="nil"/>
              <w:bottom w:val="single" w:color="auto" w:sz="4" w:space="0"/>
              <w:right w:val="single" w:color="auto" w:sz="4" w:space="0"/>
            </w:tcBorders>
            <w:shd w:val="clear" w:color="auto" w:fill="auto"/>
            <w:vAlign w:val="center"/>
          </w:tcPr>
          <w:p>
            <w:pPr>
              <w:spacing w:line="300" w:lineRule="exact"/>
              <w:jc w:val="left"/>
              <w:rPr>
                <w:rFonts w:ascii="方正书宋_GBK" w:eastAsia="方正书宋_GBK"/>
              </w:rPr>
            </w:pPr>
            <w:r>
              <w:rPr>
                <w:rFonts w:ascii="方正书宋_GBK" w:eastAsia="方正书宋_GBK"/>
              </w:rPr>
              <w:t>16</w:t>
            </w:r>
            <w:r>
              <w:rPr>
                <w:rFonts w:hint="eastAsia" w:ascii="方正书宋_GBK" w:eastAsia="方正书宋_GBK"/>
              </w:rPr>
              <w:t>、其他商品和服务支出</w:t>
            </w:r>
          </w:p>
        </w:tc>
        <w:tc>
          <w:tcPr>
            <w:tcW w:w="1350"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7.73</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方正书宋_GBK" w:hAnsi="宋体" w:eastAsia="方正书宋_GBK" w:cs="宋体"/>
                <w:b/>
                <w:bCs/>
                <w:color w:val="404040"/>
                <w:szCs w:val="21"/>
              </w:rPr>
            </w:pPr>
            <w:r>
              <w:rPr>
                <w:rFonts w:hint="eastAsia" w:ascii="方正书宋_GBK" w:eastAsia="方正书宋_GBK"/>
                <w:b/>
                <w:bCs/>
                <w:color w:val="404040"/>
                <w:szCs w:val="21"/>
              </w:rPr>
              <w:t>7.73</w:t>
            </w:r>
          </w:p>
        </w:tc>
      </w:tr>
      <w:tr>
        <w:tblPrEx>
          <w:tblCellMar>
            <w:top w:w="0" w:type="dxa"/>
            <w:left w:w="108" w:type="dxa"/>
            <w:bottom w:w="0" w:type="dxa"/>
            <w:right w:w="108" w:type="dxa"/>
          </w:tblCellMar>
        </w:tblPrEx>
        <w:trPr>
          <w:trHeight w:val="803" w:hRule="atLeast"/>
        </w:trPr>
        <w:tc>
          <w:tcPr>
            <w:tcW w:w="832" w:type="dxa"/>
            <w:tcBorders>
              <w:top w:val="nil"/>
              <w:left w:val="single" w:color="auto" w:sz="4" w:space="0"/>
              <w:bottom w:val="single" w:color="auto" w:sz="4" w:space="0"/>
              <w:right w:val="single" w:color="auto" w:sz="4" w:space="0"/>
            </w:tcBorders>
            <w:shd w:val="clear" w:color="auto" w:fill="auto"/>
          </w:tcP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3119" w:type="dxa"/>
            <w:tcBorders>
              <w:top w:val="nil"/>
              <w:left w:val="nil"/>
              <w:bottom w:val="single" w:color="auto" w:sz="4" w:space="0"/>
              <w:right w:val="single" w:color="auto" w:sz="4" w:space="0"/>
            </w:tcBorders>
            <w:shd w:val="clear" w:color="auto" w:fill="auto"/>
            <w:vAlign w:val="center"/>
          </w:tcPr>
          <w:p>
            <w:pPr>
              <w:spacing w:line="300" w:lineRule="exact"/>
              <w:ind w:firstLine="525" w:firstLineChars="250"/>
              <w:jc w:val="left"/>
              <w:rPr>
                <w:rFonts w:ascii="方正书宋_GBK" w:eastAsia="方正书宋_GBK"/>
              </w:rPr>
            </w:pPr>
            <w:r>
              <w:rPr>
                <w:rFonts w:hint="eastAsia" w:ascii="方正书宋_GBK" w:eastAsia="方正书宋_GBK"/>
              </w:rPr>
              <w:t>合  计</w:t>
            </w:r>
          </w:p>
        </w:tc>
        <w:tc>
          <w:tcPr>
            <w:tcW w:w="1350" w:type="dxa"/>
            <w:gridSpan w:val="2"/>
            <w:tcBorders>
              <w:top w:val="nil"/>
              <w:left w:val="nil"/>
              <w:bottom w:val="single" w:color="auto" w:sz="4" w:space="0"/>
              <w:right w:val="single" w:color="auto" w:sz="4" w:space="0"/>
            </w:tcBorders>
            <w:shd w:val="clear" w:color="auto" w:fill="auto"/>
            <w:vAlign w:val="center"/>
          </w:tcPr>
          <w:p>
            <w:pPr>
              <w:spacing w:line="300" w:lineRule="exact"/>
              <w:jc w:val="right"/>
              <w:rPr>
                <w:rFonts w:ascii="仿宋_GB2312" w:eastAsia="仿宋_GB2312"/>
                <w:b/>
                <w:sz w:val="24"/>
              </w:rPr>
            </w:pPr>
            <w:r>
              <w:rPr>
                <w:rFonts w:hint="eastAsia" w:ascii="仿宋_GB2312" w:eastAsia="仿宋_GB2312"/>
                <w:b/>
                <w:sz w:val="24"/>
              </w:rPr>
              <w:t>9010.1</w:t>
            </w:r>
          </w:p>
        </w:tc>
        <w:tc>
          <w:tcPr>
            <w:tcW w:w="1701"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8205.66</w:t>
            </w:r>
          </w:p>
        </w:tc>
        <w:tc>
          <w:tcPr>
            <w:tcW w:w="1701" w:type="dxa"/>
            <w:tcBorders>
              <w:top w:val="nil"/>
              <w:left w:val="nil"/>
              <w:bottom w:val="single" w:color="auto" w:sz="4" w:space="0"/>
              <w:right w:val="single" w:color="auto" w:sz="4" w:space="0"/>
            </w:tcBorders>
            <w:shd w:val="clear" w:color="auto" w:fill="auto"/>
            <w:vAlign w:val="center"/>
          </w:tcPr>
          <w:p>
            <w:pPr>
              <w:spacing w:line="300" w:lineRule="exact"/>
              <w:jc w:val="right"/>
              <w:rPr>
                <w:rFonts w:ascii="仿宋_GB2312" w:eastAsia="仿宋_GB2312"/>
                <w:b/>
                <w:sz w:val="24"/>
              </w:rPr>
            </w:pPr>
            <w:r>
              <w:rPr>
                <w:rFonts w:hint="eastAsia" w:ascii="仿宋_GB2312" w:eastAsia="仿宋_GB2312"/>
                <w:b/>
                <w:sz w:val="24"/>
              </w:rPr>
              <w:t>804.44</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7"/>
        <w:tblW w:w="10781" w:type="dxa"/>
        <w:tblInd w:w="-360" w:type="dxa"/>
        <w:tblLayout w:type="fixed"/>
        <w:tblCellMar>
          <w:top w:w="0" w:type="dxa"/>
          <w:left w:w="108" w:type="dxa"/>
          <w:bottom w:w="0" w:type="dxa"/>
          <w:right w:w="108" w:type="dxa"/>
        </w:tblCellMar>
      </w:tblPr>
      <w:tblGrid>
        <w:gridCol w:w="14"/>
        <w:gridCol w:w="596"/>
        <w:gridCol w:w="567"/>
        <w:gridCol w:w="567"/>
        <w:gridCol w:w="875"/>
        <w:gridCol w:w="1251"/>
        <w:gridCol w:w="851"/>
        <w:gridCol w:w="214"/>
        <w:gridCol w:w="211"/>
        <w:gridCol w:w="1134"/>
        <w:gridCol w:w="425"/>
        <w:gridCol w:w="426"/>
        <w:gridCol w:w="627"/>
        <w:gridCol w:w="200"/>
        <w:gridCol w:w="1015"/>
        <w:gridCol w:w="284"/>
        <w:gridCol w:w="283"/>
        <w:gridCol w:w="284"/>
        <w:gridCol w:w="709"/>
        <w:gridCol w:w="248"/>
      </w:tblGrid>
      <w:tr>
        <w:tblPrEx>
          <w:tblCellMar>
            <w:top w:w="0" w:type="dxa"/>
            <w:left w:w="108" w:type="dxa"/>
            <w:bottom w:w="0" w:type="dxa"/>
            <w:right w:w="108" w:type="dxa"/>
          </w:tblCellMar>
        </w:tblPrEx>
        <w:trPr>
          <w:gridBefore w:val="1"/>
          <w:wBefore w:w="14" w:type="dxa"/>
          <w:trHeight w:val="375" w:hRule="atLeast"/>
        </w:trPr>
        <w:tc>
          <w:tcPr>
            <w:tcW w:w="10767" w:type="dxa"/>
            <w:gridSpan w:val="19"/>
            <w:tcBorders>
              <w:top w:val="nil"/>
              <w:left w:val="nil"/>
              <w:bottom w:val="nil"/>
              <w:right w:val="nil"/>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项目支出情况表</w:t>
            </w:r>
          </w:p>
        </w:tc>
      </w:tr>
      <w:tr>
        <w:tblPrEx>
          <w:tblCellMar>
            <w:top w:w="0" w:type="dxa"/>
            <w:left w:w="108" w:type="dxa"/>
            <w:bottom w:w="0" w:type="dxa"/>
            <w:right w:w="108" w:type="dxa"/>
          </w:tblCellMar>
        </w:tblPrEx>
        <w:trPr>
          <w:gridBefore w:val="1"/>
          <w:wBefore w:w="14" w:type="dxa"/>
          <w:trHeight w:val="405" w:hRule="atLeast"/>
        </w:trPr>
        <w:tc>
          <w:tcPr>
            <w:tcW w:w="4921" w:type="dxa"/>
            <w:gridSpan w:val="7"/>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 xml:space="preserve">自治区国土资源执法监察总队 （汇总） </w:t>
            </w:r>
            <w:r>
              <w:rPr>
                <w:rFonts w:hint="eastAsia" w:ascii="仿宋_GB2312" w:hAnsi="宋体" w:eastAsia="仿宋_GB2312"/>
                <w:kern w:val="0"/>
                <w:sz w:val="28"/>
                <w:szCs w:val="28"/>
              </w:rPr>
              <w:t xml:space="preserve"> </w:t>
            </w:r>
          </w:p>
        </w:tc>
        <w:tc>
          <w:tcPr>
            <w:tcW w:w="1345" w:type="dxa"/>
            <w:gridSpan w:val="2"/>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p>
        </w:tc>
        <w:tc>
          <w:tcPr>
            <w:tcW w:w="1478" w:type="dxa"/>
            <w:gridSpan w:val="3"/>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023" w:type="dxa"/>
            <w:gridSpan w:val="7"/>
            <w:tcBorders>
              <w:top w:val="nil"/>
              <w:left w:val="nil"/>
              <w:bottom w:val="nil"/>
              <w:right w:val="nil"/>
            </w:tcBorders>
            <w:shd w:val="clear" w:color="auto" w:fill="auto"/>
            <w:noWrap/>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630" w:hRule="atLeast"/>
        </w:trPr>
        <w:tc>
          <w:tcPr>
            <w:tcW w:w="1744" w:type="dxa"/>
            <w:gridSpan w:val="4"/>
            <w:shd w:val="clear" w:color="auto" w:fill="auto"/>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875" w:type="dxa"/>
            <w:vMerge w:val="restart"/>
            <w:shd w:val="clear" w:color="auto" w:fill="auto"/>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251" w:type="dxa"/>
            <w:vMerge w:val="restart"/>
            <w:shd w:val="clear" w:color="auto" w:fill="auto"/>
            <w:noWrap/>
            <w:vAlign w:val="center"/>
          </w:tcPr>
          <w:p>
            <w:pPr>
              <w:jc w:val="center"/>
              <w:rPr>
                <w:rFonts w:ascii="Calibri" w:hAnsi="Calibri"/>
                <w:sz w:val="24"/>
              </w:rPr>
            </w:pPr>
            <w:r>
              <w:rPr>
                <w:rFonts w:hint="eastAsia" w:ascii="仿宋_GB2312" w:hAnsi="宋体" w:eastAsia="仿宋_GB2312"/>
                <w:b/>
                <w:kern w:val="0"/>
                <w:sz w:val="24"/>
              </w:rPr>
              <w:t>项目名称</w:t>
            </w:r>
          </w:p>
        </w:tc>
        <w:tc>
          <w:tcPr>
            <w:tcW w:w="851"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425"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1134"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425"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426"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827"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1015"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284"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283"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284"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709"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1367" w:hRule="atLeast"/>
        </w:trPr>
        <w:tc>
          <w:tcPr>
            <w:tcW w:w="610" w:type="dxa"/>
            <w:gridSpan w:val="2"/>
            <w:tcBorders>
              <w:bottom w:val="single" w:color="auto" w:sz="4" w:space="0"/>
            </w:tcBorders>
            <w:shd w:val="clear" w:color="auto" w:fill="auto"/>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567" w:type="dxa"/>
            <w:tcBorders>
              <w:bottom w:val="single" w:color="auto" w:sz="4" w:space="0"/>
            </w:tcBorders>
            <w:shd w:val="clear" w:color="auto" w:fill="auto"/>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567" w:type="dxa"/>
            <w:tcBorders>
              <w:bottom w:val="single" w:color="auto" w:sz="4" w:space="0"/>
            </w:tcBorders>
            <w:shd w:val="clear" w:color="auto" w:fill="auto"/>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875" w:type="dxa"/>
            <w:vMerge w:val="continue"/>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p>
        </w:tc>
        <w:tc>
          <w:tcPr>
            <w:tcW w:w="1251"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851"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25"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1134"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25"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26"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827"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1015"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284"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283"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284"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709"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1782" w:hRule="atLeast"/>
        </w:trPr>
        <w:tc>
          <w:tcPr>
            <w:tcW w:w="610" w:type="dxa"/>
            <w:gridSpan w:val="2"/>
            <w:shd w:val="clear" w:color="auto" w:fill="auto"/>
            <w:vAlign w:val="center"/>
          </w:tcPr>
          <w:p>
            <w:pPr>
              <w:widowControl/>
              <w:jc w:val="center"/>
              <w:outlineLvl w:val="1"/>
              <w:rPr>
                <w:rFonts w:ascii="方正书宋_GBK" w:eastAsia="方正书宋_GBK"/>
                <w:szCs w:val="21"/>
              </w:rPr>
            </w:pPr>
            <w:r>
              <w:rPr>
                <w:rFonts w:ascii="方正书宋_GBK" w:eastAsia="方正书宋_GBK"/>
                <w:szCs w:val="21"/>
              </w:rPr>
              <w:t>220</w:t>
            </w:r>
          </w:p>
        </w:tc>
        <w:tc>
          <w:tcPr>
            <w:tcW w:w="567"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01</w:t>
            </w:r>
          </w:p>
        </w:tc>
        <w:tc>
          <w:tcPr>
            <w:tcW w:w="567"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08</w:t>
            </w:r>
          </w:p>
        </w:tc>
        <w:tc>
          <w:tcPr>
            <w:tcW w:w="875"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自然资源行业业务管理</w:t>
            </w:r>
          </w:p>
        </w:tc>
        <w:tc>
          <w:tcPr>
            <w:tcW w:w="1251" w:type="dxa"/>
            <w:shd w:val="clear" w:color="auto" w:fill="auto"/>
            <w:vAlign w:val="center"/>
          </w:tcPr>
          <w:p>
            <w:pPr>
              <w:spacing w:line="300" w:lineRule="exact"/>
              <w:jc w:val="center"/>
              <w:rPr>
                <w:rFonts w:ascii="方正书宋_GBK" w:eastAsia="方正书宋_GBK"/>
                <w:szCs w:val="21"/>
              </w:rPr>
            </w:pPr>
            <w:r>
              <w:rPr>
                <w:rFonts w:hint="eastAsia" w:ascii="方正书宋_GBK" w:eastAsia="方正书宋_GBK"/>
                <w:szCs w:val="21"/>
              </w:rPr>
              <w:t>全区国土资源执法监察系统执法办案经费</w:t>
            </w:r>
          </w:p>
        </w:tc>
        <w:tc>
          <w:tcPr>
            <w:tcW w:w="851"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550</w:t>
            </w:r>
          </w:p>
        </w:tc>
        <w:tc>
          <w:tcPr>
            <w:tcW w:w="425" w:type="dxa"/>
            <w:gridSpan w:val="2"/>
            <w:shd w:val="clear" w:color="auto" w:fill="auto"/>
            <w:vAlign w:val="center"/>
          </w:tcPr>
          <w:p>
            <w:pPr>
              <w:widowControl/>
              <w:jc w:val="center"/>
              <w:outlineLvl w:val="1"/>
              <w:rPr>
                <w:rFonts w:ascii="方正书宋_GBK" w:eastAsia="方正书宋_GBK"/>
                <w:szCs w:val="21"/>
              </w:rPr>
            </w:pPr>
          </w:p>
        </w:tc>
        <w:tc>
          <w:tcPr>
            <w:tcW w:w="1134"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441.7</w:t>
            </w:r>
          </w:p>
        </w:tc>
        <w:tc>
          <w:tcPr>
            <w:tcW w:w="425" w:type="dxa"/>
            <w:shd w:val="clear" w:color="auto" w:fill="auto"/>
            <w:vAlign w:val="center"/>
          </w:tcPr>
          <w:p>
            <w:pPr>
              <w:widowControl/>
              <w:jc w:val="center"/>
              <w:outlineLvl w:val="1"/>
              <w:rPr>
                <w:rFonts w:ascii="方正书宋_GBK" w:eastAsia="方正书宋_GBK"/>
                <w:szCs w:val="21"/>
              </w:rPr>
            </w:pPr>
          </w:p>
        </w:tc>
        <w:tc>
          <w:tcPr>
            <w:tcW w:w="426" w:type="dxa"/>
            <w:shd w:val="clear" w:color="auto" w:fill="auto"/>
            <w:vAlign w:val="center"/>
          </w:tcPr>
          <w:p>
            <w:pPr>
              <w:widowControl/>
              <w:jc w:val="center"/>
              <w:outlineLvl w:val="1"/>
              <w:rPr>
                <w:rFonts w:ascii="方正书宋_GBK" w:eastAsia="方正书宋_GBK"/>
                <w:szCs w:val="21"/>
              </w:rPr>
            </w:pPr>
          </w:p>
        </w:tc>
        <w:tc>
          <w:tcPr>
            <w:tcW w:w="827" w:type="dxa"/>
            <w:gridSpan w:val="2"/>
            <w:shd w:val="clear" w:color="auto" w:fill="auto"/>
            <w:vAlign w:val="center"/>
          </w:tcPr>
          <w:p>
            <w:pPr>
              <w:widowControl/>
              <w:jc w:val="center"/>
              <w:outlineLvl w:val="1"/>
              <w:rPr>
                <w:rFonts w:ascii="方正书宋_GBK" w:eastAsia="方正书宋_GBK"/>
                <w:szCs w:val="21"/>
              </w:rPr>
            </w:pPr>
          </w:p>
        </w:tc>
        <w:tc>
          <w:tcPr>
            <w:tcW w:w="1015"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108.3</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3"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709"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1547" w:hRule="atLeast"/>
        </w:trPr>
        <w:tc>
          <w:tcPr>
            <w:tcW w:w="610" w:type="dxa"/>
            <w:gridSpan w:val="2"/>
            <w:shd w:val="clear" w:color="auto" w:fill="auto"/>
            <w:vAlign w:val="center"/>
          </w:tcPr>
          <w:p>
            <w:pPr>
              <w:widowControl/>
              <w:jc w:val="center"/>
              <w:outlineLvl w:val="1"/>
              <w:rPr>
                <w:rFonts w:ascii="方正书宋_GBK" w:eastAsia="方正书宋_GBK"/>
                <w:szCs w:val="21"/>
              </w:rPr>
            </w:pPr>
            <w:r>
              <w:rPr>
                <w:rFonts w:ascii="方正书宋_GBK" w:eastAsia="方正书宋_GBK"/>
                <w:szCs w:val="21"/>
              </w:rPr>
              <w:t>220</w:t>
            </w:r>
          </w:p>
        </w:tc>
        <w:tc>
          <w:tcPr>
            <w:tcW w:w="567"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01</w:t>
            </w:r>
          </w:p>
        </w:tc>
        <w:tc>
          <w:tcPr>
            <w:tcW w:w="567"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08</w:t>
            </w:r>
          </w:p>
        </w:tc>
        <w:tc>
          <w:tcPr>
            <w:tcW w:w="875" w:type="dxa"/>
            <w:shd w:val="clear" w:color="auto" w:fill="auto"/>
            <w:vAlign w:val="center"/>
          </w:tcPr>
          <w:p>
            <w:pPr>
              <w:spacing w:line="300" w:lineRule="exact"/>
              <w:jc w:val="center"/>
              <w:rPr>
                <w:rFonts w:ascii="方正书宋_GBK" w:eastAsia="方正书宋_GBK"/>
                <w:szCs w:val="21"/>
              </w:rPr>
            </w:pPr>
            <w:r>
              <w:rPr>
                <w:rFonts w:hint="eastAsia" w:ascii="方正书宋_GBK" w:eastAsia="方正书宋_GBK"/>
                <w:szCs w:val="21"/>
              </w:rPr>
              <w:t>自然资源行业业务管理</w:t>
            </w:r>
          </w:p>
        </w:tc>
        <w:tc>
          <w:tcPr>
            <w:tcW w:w="1251" w:type="dxa"/>
            <w:shd w:val="clear" w:color="auto" w:fill="auto"/>
            <w:vAlign w:val="center"/>
          </w:tcPr>
          <w:p>
            <w:pPr>
              <w:spacing w:line="300" w:lineRule="exact"/>
              <w:jc w:val="center"/>
              <w:rPr>
                <w:rFonts w:ascii="方正书宋_GBK" w:eastAsia="方正书宋_GBK"/>
                <w:szCs w:val="21"/>
              </w:rPr>
            </w:pPr>
            <w:r>
              <w:rPr>
                <w:rFonts w:hint="eastAsia" w:ascii="方正书宋_GBK" w:eastAsia="方正书宋_GBK"/>
                <w:szCs w:val="21"/>
              </w:rPr>
              <w:t>房屋租赁（机关）</w:t>
            </w:r>
          </w:p>
        </w:tc>
        <w:tc>
          <w:tcPr>
            <w:tcW w:w="851"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136</w:t>
            </w:r>
          </w:p>
        </w:tc>
        <w:tc>
          <w:tcPr>
            <w:tcW w:w="425" w:type="dxa"/>
            <w:gridSpan w:val="2"/>
            <w:shd w:val="clear" w:color="auto" w:fill="auto"/>
            <w:vAlign w:val="center"/>
          </w:tcPr>
          <w:p>
            <w:pPr>
              <w:widowControl/>
              <w:jc w:val="center"/>
              <w:outlineLvl w:val="1"/>
              <w:rPr>
                <w:rFonts w:ascii="方正书宋_GBK" w:eastAsia="方正书宋_GBK"/>
                <w:szCs w:val="21"/>
              </w:rPr>
            </w:pPr>
          </w:p>
        </w:tc>
        <w:tc>
          <w:tcPr>
            <w:tcW w:w="1134"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136</w:t>
            </w:r>
          </w:p>
        </w:tc>
        <w:tc>
          <w:tcPr>
            <w:tcW w:w="425" w:type="dxa"/>
            <w:shd w:val="clear" w:color="auto" w:fill="auto"/>
            <w:vAlign w:val="center"/>
          </w:tcPr>
          <w:p>
            <w:pPr>
              <w:widowControl/>
              <w:jc w:val="center"/>
              <w:outlineLvl w:val="1"/>
              <w:rPr>
                <w:rFonts w:ascii="方正书宋_GBK" w:eastAsia="方正书宋_GBK"/>
                <w:szCs w:val="21"/>
              </w:rPr>
            </w:pPr>
          </w:p>
        </w:tc>
        <w:tc>
          <w:tcPr>
            <w:tcW w:w="426" w:type="dxa"/>
            <w:shd w:val="clear" w:color="auto" w:fill="auto"/>
            <w:vAlign w:val="center"/>
          </w:tcPr>
          <w:p>
            <w:pPr>
              <w:widowControl/>
              <w:jc w:val="center"/>
              <w:outlineLvl w:val="1"/>
              <w:rPr>
                <w:rFonts w:ascii="方正书宋_GBK" w:eastAsia="方正书宋_GBK"/>
                <w:szCs w:val="21"/>
              </w:rPr>
            </w:pPr>
          </w:p>
        </w:tc>
        <w:tc>
          <w:tcPr>
            <w:tcW w:w="827" w:type="dxa"/>
            <w:gridSpan w:val="2"/>
            <w:shd w:val="clear" w:color="auto" w:fill="auto"/>
            <w:vAlign w:val="center"/>
          </w:tcPr>
          <w:p>
            <w:pPr>
              <w:widowControl/>
              <w:jc w:val="center"/>
              <w:outlineLvl w:val="1"/>
              <w:rPr>
                <w:rFonts w:ascii="方正书宋_GBK" w:eastAsia="方正书宋_GBK"/>
                <w:szCs w:val="21"/>
              </w:rPr>
            </w:pPr>
          </w:p>
        </w:tc>
        <w:tc>
          <w:tcPr>
            <w:tcW w:w="1015" w:type="dxa"/>
            <w:shd w:val="clear" w:color="auto" w:fill="auto"/>
            <w:vAlign w:val="center"/>
          </w:tcPr>
          <w:p>
            <w:pPr>
              <w:widowControl/>
              <w:jc w:val="center"/>
              <w:outlineLvl w:val="1"/>
              <w:rPr>
                <w:rFonts w:ascii="方正书宋_GBK" w:eastAsia="方正书宋_GBK"/>
                <w:szCs w:val="21"/>
              </w:rPr>
            </w:pP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3"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709"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2188" w:hRule="atLeast"/>
        </w:trPr>
        <w:tc>
          <w:tcPr>
            <w:tcW w:w="610" w:type="dxa"/>
            <w:gridSpan w:val="2"/>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220</w:t>
            </w:r>
          </w:p>
        </w:tc>
        <w:tc>
          <w:tcPr>
            <w:tcW w:w="567"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01</w:t>
            </w:r>
          </w:p>
        </w:tc>
        <w:tc>
          <w:tcPr>
            <w:tcW w:w="567"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99</w:t>
            </w:r>
          </w:p>
        </w:tc>
        <w:tc>
          <w:tcPr>
            <w:tcW w:w="87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其他自然资源事务支出</w:t>
            </w:r>
          </w:p>
        </w:tc>
        <w:tc>
          <w:tcPr>
            <w:tcW w:w="1251"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全区国土资源执法监察系统执法办案经费　</w:t>
            </w:r>
          </w:p>
        </w:tc>
        <w:tc>
          <w:tcPr>
            <w:tcW w:w="851"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4050</w:t>
            </w:r>
          </w:p>
        </w:tc>
        <w:tc>
          <w:tcPr>
            <w:tcW w:w="425" w:type="dxa"/>
            <w:gridSpan w:val="2"/>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113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3889.82</w:t>
            </w:r>
          </w:p>
        </w:tc>
        <w:tc>
          <w:tcPr>
            <w:tcW w:w="42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426"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827" w:type="dxa"/>
            <w:gridSpan w:val="2"/>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17.35</w:t>
            </w:r>
          </w:p>
        </w:tc>
        <w:tc>
          <w:tcPr>
            <w:tcW w:w="101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131.33</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3"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709"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11.5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585" w:hRule="atLeast"/>
        </w:trPr>
        <w:tc>
          <w:tcPr>
            <w:tcW w:w="610" w:type="dxa"/>
            <w:gridSpan w:val="2"/>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567"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567" w:type="dxa"/>
            <w:shd w:val="clear" w:color="auto" w:fill="auto"/>
          </w:tcPr>
          <w:p>
            <w:pPr>
              <w:widowControl/>
              <w:jc w:val="left"/>
              <w:outlineLvl w:val="1"/>
              <w:rPr>
                <w:rFonts w:ascii="方正书宋_GBK" w:eastAsia="方正书宋_GBK"/>
                <w:szCs w:val="21"/>
              </w:rPr>
            </w:pPr>
          </w:p>
        </w:tc>
        <w:tc>
          <w:tcPr>
            <w:tcW w:w="87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1251"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851" w:type="dxa"/>
            <w:shd w:val="clear" w:color="auto" w:fill="auto"/>
          </w:tcPr>
          <w:p>
            <w:pPr>
              <w:widowControl/>
              <w:jc w:val="left"/>
              <w:outlineLvl w:val="1"/>
              <w:rPr>
                <w:rFonts w:ascii="方正书宋_GBK" w:eastAsia="方正书宋_GBK"/>
                <w:szCs w:val="21"/>
              </w:rPr>
            </w:pPr>
          </w:p>
        </w:tc>
        <w:tc>
          <w:tcPr>
            <w:tcW w:w="425" w:type="dxa"/>
            <w:gridSpan w:val="2"/>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113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42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426"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827" w:type="dxa"/>
            <w:gridSpan w:val="2"/>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101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3"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709"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585" w:hRule="atLeast"/>
        </w:trPr>
        <w:tc>
          <w:tcPr>
            <w:tcW w:w="610" w:type="dxa"/>
            <w:gridSpan w:val="2"/>
            <w:shd w:val="clear" w:color="auto" w:fill="auto"/>
          </w:tcPr>
          <w:p>
            <w:pPr>
              <w:widowControl/>
              <w:jc w:val="left"/>
              <w:outlineLvl w:val="1"/>
              <w:rPr>
                <w:rFonts w:ascii="仿宋_GB2312" w:hAnsi="宋体" w:eastAsia="仿宋_GB2312"/>
                <w:kern w:val="0"/>
                <w:szCs w:val="21"/>
              </w:rPr>
            </w:pPr>
            <w:r>
              <w:rPr>
                <w:rFonts w:hint="eastAsia" w:ascii="仿宋_GB2312" w:hAnsi="宋体" w:eastAsia="仿宋_GB2312"/>
                <w:kern w:val="0"/>
                <w:szCs w:val="21"/>
              </w:rPr>
              <w:t>　</w:t>
            </w:r>
          </w:p>
        </w:tc>
        <w:tc>
          <w:tcPr>
            <w:tcW w:w="567"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567"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87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1251"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851"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425" w:type="dxa"/>
            <w:gridSpan w:val="2"/>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113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42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426"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827" w:type="dxa"/>
            <w:gridSpan w:val="2"/>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101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3"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284"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709"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585" w:hRule="atLeast"/>
        </w:trPr>
        <w:tc>
          <w:tcPr>
            <w:tcW w:w="610" w:type="dxa"/>
            <w:gridSpan w:val="2"/>
            <w:shd w:val="clear" w:color="auto" w:fill="auto"/>
          </w:tcPr>
          <w:p>
            <w:pPr>
              <w:widowControl/>
              <w:jc w:val="left"/>
              <w:outlineLvl w:val="1"/>
              <w:rPr>
                <w:rFonts w:hint="eastAsia" w:ascii="仿宋_GB2312" w:hAnsi="宋体" w:eastAsia="仿宋_GB2312"/>
                <w:kern w:val="0"/>
                <w:szCs w:val="21"/>
              </w:rPr>
            </w:pPr>
          </w:p>
        </w:tc>
        <w:tc>
          <w:tcPr>
            <w:tcW w:w="567" w:type="dxa"/>
            <w:shd w:val="clear" w:color="auto" w:fill="auto"/>
          </w:tcPr>
          <w:p>
            <w:pPr>
              <w:widowControl/>
              <w:jc w:val="left"/>
              <w:outlineLvl w:val="1"/>
              <w:rPr>
                <w:rFonts w:hint="eastAsia" w:ascii="方正书宋_GBK" w:eastAsia="方正书宋_GBK"/>
                <w:szCs w:val="21"/>
              </w:rPr>
            </w:pPr>
          </w:p>
        </w:tc>
        <w:tc>
          <w:tcPr>
            <w:tcW w:w="567" w:type="dxa"/>
            <w:shd w:val="clear" w:color="auto" w:fill="auto"/>
          </w:tcPr>
          <w:p>
            <w:pPr>
              <w:widowControl/>
              <w:jc w:val="left"/>
              <w:outlineLvl w:val="1"/>
              <w:rPr>
                <w:rFonts w:hint="eastAsia" w:ascii="方正书宋_GBK" w:eastAsia="方正书宋_GBK"/>
                <w:szCs w:val="21"/>
              </w:rPr>
            </w:pPr>
          </w:p>
        </w:tc>
        <w:tc>
          <w:tcPr>
            <w:tcW w:w="875" w:type="dxa"/>
            <w:shd w:val="clear" w:color="auto" w:fill="auto"/>
          </w:tcPr>
          <w:p>
            <w:pPr>
              <w:widowControl/>
              <w:jc w:val="left"/>
              <w:outlineLvl w:val="1"/>
              <w:rPr>
                <w:rFonts w:hint="eastAsia" w:ascii="方正书宋_GBK" w:eastAsia="方正书宋_GBK"/>
                <w:szCs w:val="21"/>
              </w:rPr>
            </w:pPr>
          </w:p>
        </w:tc>
        <w:tc>
          <w:tcPr>
            <w:tcW w:w="1251" w:type="dxa"/>
            <w:shd w:val="clear" w:color="auto" w:fill="auto"/>
          </w:tcPr>
          <w:p>
            <w:pPr>
              <w:widowControl/>
              <w:jc w:val="left"/>
              <w:outlineLvl w:val="1"/>
              <w:rPr>
                <w:rFonts w:hint="eastAsia" w:ascii="方正书宋_GBK" w:eastAsia="方正书宋_GBK"/>
                <w:szCs w:val="21"/>
              </w:rPr>
            </w:pPr>
          </w:p>
        </w:tc>
        <w:tc>
          <w:tcPr>
            <w:tcW w:w="851" w:type="dxa"/>
            <w:shd w:val="clear" w:color="auto" w:fill="auto"/>
          </w:tcPr>
          <w:p>
            <w:pPr>
              <w:widowControl/>
              <w:jc w:val="left"/>
              <w:outlineLvl w:val="1"/>
              <w:rPr>
                <w:rFonts w:hint="eastAsia" w:ascii="方正书宋_GBK" w:eastAsia="方正书宋_GBK"/>
                <w:szCs w:val="21"/>
              </w:rPr>
            </w:pPr>
          </w:p>
        </w:tc>
        <w:tc>
          <w:tcPr>
            <w:tcW w:w="425" w:type="dxa"/>
            <w:gridSpan w:val="2"/>
            <w:shd w:val="clear" w:color="auto" w:fill="auto"/>
          </w:tcPr>
          <w:p>
            <w:pPr>
              <w:widowControl/>
              <w:jc w:val="left"/>
              <w:outlineLvl w:val="1"/>
              <w:rPr>
                <w:rFonts w:hint="eastAsia" w:ascii="方正书宋_GBK" w:eastAsia="方正书宋_GBK"/>
                <w:szCs w:val="21"/>
              </w:rPr>
            </w:pPr>
          </w:p>
        </w:tc>
        <w:tc>
          <w:tcPr>
            <w:tcW w:w="1134" w:type="dxa"/>
            <w:shd w:val="clear" w:color="auto" w:fill="auto"/>
          </w:tcPr>
          <w:p>
            <w:pPr>
              <w:widowControl/>
              <w:jc w:val="left"/>
              <w:outlineLvl w:val="1"/>
              <w:rPr>
                <w:rFonts w:hint="eastAsia" w:ascii="方正书宋_GBK" w:eastAsia="方正书宋_GBK"/>
                <w:szCs w:val="21"/>
              </w:rPr>
            </w:pPr>
          </w:p>
        </w:tc>
        <w:tc>
          <w:tcPr>
            <w:tcW w:w="425" w:type="dxa"/>
            <w:shd w:val="clear" w:color="auto" w:fill="auto"/>
          </w:tcPr>
          <w:p>
            <w:pPr>
              <w:widowControl/>
              <w:jc w:val="left"/>
              <w:outlineLvl w:val="1"/>
              <w:rPr>
                <w:rFonts w:hint="eastAsia" w:ascii="方正书宋_GBK" w:eastAsia="方正书宋_GBK"/>
                <w:szCs w:val="21"/>
              </w:rPr>
            </w:pPr>
          </w:p>
        </w:tc>
        <w:tc>
          <w:tcPr>
            <w:tcW w:w="426" w:type="dxa"/>
            <w:shd w:val="clear" w:color="auto" w:fill="auto"/>
          </w:tcPr>
          <w:p>
            <w:pPr>
              <w:widowControl/>
              <w:jc w:val="left"/>
              <w:outlineLvl w:val="1"/>
              <w:rPr>
                <w:rFonts w:hint="eastAsia" w:ascii="方正书宋_GBK" w:eastAsia="方正书宋_GBK"/>
                <w:szCs w:val="21"/>
              </w:rPr>
            </w:pPr>
          </w:p>
        </w:tc>
        <w:tc>
          <w:tcPr>
            <w:tcW w:w="827" w:type="dxa"/>
            <w:gridSpan w:val="2"/>
            <w:shd w:val="clear" w:color="auto" w:fill="auto"/>
          </w:tcPr>
          <w:p>
            <w:pPr>
              <w:widowControl/>
              <w:jc w:val="left"/>
              <w:outlineLvl w:val="1"/>
              <w:rPr>
                <w:rFonts w:hint="eastAsia" w:ascii="方正书宋_GBK" w:eastAsia="方正书宋_GBK"/>
                <w:szCs w:val="21"/>
              </w:rPr>
            </w:pPr>
          </w:p>
        </w:tc>
        <w:tc>
          <w:tcPr>
            <w:tcW w:w="1015" w:type="dxa"/>
            <w:shd w:val="clear" w:color="auto" w:fill="auto"/>
          </w:tcPr>
          <w:p>
            <w:pPr>
              <w:widowControl/>
              <w:jc w:val="left"/>
              <w:outlineLvl w:val="1"/>
              <w:rPr>
                <w:rFonts w:hint="eastAsia" w:ascii="方正书宋_GBK" w:eastAsia="方正书宋_GBK"/>
                <w:szCs w:val="21"/>
              </w:rPr>
            </w:pPr>
          </w:p>
        </w:tc>
        <w:tc>
          <w:tcPr>
            <w:tcW w:w="284" w:type="dxa"/>
            <w:shd w:val="clear" w:color="auto" w:fill="auto"/>
          </w:tcPr>
          <w:p>
            <w:pPr>
              <w:widowControl/>
              <w:jc w:val="left"/>
              <w:outlineLvl w:val="1"/>
              <w:rPr>
                <w:rFonts w:hint="eastAsia" w:ascii="方正书宋_GBK" w:eastAsia="方正书宋_GBK"/>
                <w:szCs w:val="21"/>
              </w:rPr>
            </w:pPr>
          </w:p>
        </w:tc>
        <w:tc>
          <w:tcPr>
            <w:tcW w:w="283" w:type="dxa"/>
            <w:shd w:val="clear" w:color="auto" w:fill="auto"/>
          </w:tcPr>
          <w:p>
            <w:pPr>
              <w:widowControl/>
              <w:jc w:val="left"/>
              <w:outlineLvl w:val="1"/>
              <w:rPr>
                <w:rFonts w:hint="eastAsia" w:ascii="方正书宋_GBK" w:eastAsia="方正书宋_GBK"/>
                <w:szCs w:val="21"/>
              </w:rPr>
            </w:pPr>
          </w:p>
        </w:tc>
        <w:tc>
          <w:tcPr>
            <w:tcW w:w="284" w:type="dxa"/>
            <w:shd w:val="clear" w:color="auto" w:fill="auto"/>
          </w:tcPr>
          <w:p>
            <w:pPr>
              <w:widowControl/>
              <w:jc w:val="left"/>
              <w:outlineLvl w:val="1"/>
              <w:rPr>
                <w:rFonts w:hint="eastAsia" w:ascii="方正书宋_GBK" w:eastAsia="方正书宋_GBK"/>
                <w:szCs w:val="21"/>
              </w:rPr>
            </w:pPr>
          </w:p>
        </w:tc>
        <w:tc>
          <w:tcPr>
            <w:tcW w:w="709" w:type="dxa"/>
            <w:shd w:val="clear" w:color="auto" w:fill="auto"/>
          </w:tcPr>
          <w:p>
            <w:pPr>
              <w:widowControl/>
              <w:jc w:val="left"/>
              <w:outlineLvl w:val="1"/>
              <w:rPr>
                <w:rFonts w:hint="eastAsia" w:ascii="方正书宋_GBK" w:eastAsia="方正书宋_GBK"/>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48" w:type="dxa"/>
          <w:trHeight w:val="585" w:hRule="atLeast"/>
        </w:trPr>
        <w:tc>
          <w:tcPr>
            <w:tcW w:w="610" w:type="dxa"/>
            <w:gridSpan w:val="2"/>
            <w:shd w:val="clear" w:color="auto" w:fill="auto"/>
          </w:tcPr>
          <w:p>
            <w:pPr>
              <w:widowControl/>
              <w:jc w:val="left"/>
              <w:outlineLvl w:val="1"/>
              <w:rPr>
                <w:rFonts w:ascii="仿宋_GB2312" w:hAnsi="宋体" w:eastAsia="仿宋_GB2312"/>
                <w:kern w:val="0"/>
                <w:szCs w:val="21"/>
              </w:rPr>
            </w:pPr>
            <w:r>
              <w:rPr>
                <w:rFonts w:hint="eastAsia" w:ascii="仿宋_GB2312" w:hAnsi="宋体" w:eastAsia="仿宋_GB2312"/>
                <w:kern w:val="0"/>
                <w:szCs w:val="21"/>
              </w:rPr>
              <w:t>　</w:t>
            </w:r>
          </w:p>
        </w:tc>
        <w:tc>
          <w:tcPr>
            <w:tcW w:w="567"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567"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875" w:type="dxa"/>
            <w:shd w:val="clear" w:color="auto" w:fill="auto"/>
          </w:tcPr>
          <w:p>
            <w:pPr>
              <w:widowControl/>
              <w:jc w:val="left"/>
              <w:outlineLvl w:val="1"/>
              <w:rPr>
                <w:rFonts w:ascii="方正书宋_GBK" w:eastAsia="方正书宋_GBK"/>
                <w:szCs w:val="21"/>
              </w:rPr>
            </w:pPr>
            <w:r>
              <w:rPr>
                <w:rFonts w:hint="eastAsia" w:ascii="方正书宋_GBK" w:eastAsia="方正书宋_GBK"/>
                <w:szCs w:val="21"/>
              </w:rPr>
              <w:t>　</w:t>
            </w:r>
          </w:p>
        </w:tc>
        <w:tc>
          <w:tcPr>
            <w:tcW w:w="1251"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合计</w:t>
            </w:r>
          </w:p>
        </w:tc>
        <w:tc>
          <w:tcPr>
            <w:tcW w:w="851"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4736</w:t>
            </w:r>
          </w:p>
        </w:tc>
        <w:tc>
          <w:tcPr>
            <w:tcW w:w="425" w:type="dxa"/>
            <w:gridSpan w:val="2"/>
            <w:shd w:val="clear" w:color="auto" w:fill="auto"/>
            <w:vAlign w:val="center"/>
          </w:tcPr>
          <w:p>
            <w:pPr>
              <w:widowControl/>
              <w:jc w:val="center"/>
              <w:outlineLvl w:val="1"/>
              <w:rPr>
                <w:rFonts w:ascii="方正书宋_GBK" w:eastAsia="方正书宋_GBK"/>
                <w:szCs w:val="21"/>
              </w:rPr>
            </w:pPr>
          </w:p>
        </w:tc>
        <w:tc>
          <w:tcPr>
            <w:tcW w:w="1134"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4467.52</w:t>
            </w:r>
          </w:p>
        </w:tc>
        <w:tc>
          <w:tcPr>
            <w:tcW w:w="425" w:type="dxa"/>
            <w:shd w:val="clear" w:color="auto" w:fill="auto"/>
            <w:vAlign w:val="center"/>
          </w:tcPr>
          <w:p>
            <w:pPr>
              <w:widowControl/>
              <w:jc w:val="center"/>
              <w:outlineLvl w:val="1"/>
              <w:rPr>
                <w:rFonts w:ascii="方正书宋_GBK" w:eastAsia="方正书宋_GBK"/>
                <w:szCs w:val="21"/>
              </w:rPr>
            </w:pPr>
          </w:p>
        </w:tc>
        <w:tc>
          <w:tcPr>
            <w:tcW w:w="426" w:type="dxa"/>
            <w:shd w:val="clear" w:color="auto" w:fill="auto"/>
            <w:vAlign w:val="center"/>
          </w:tcPr>
          <w:p>
            <w:pPr>
              <w:widowControl/>
              <w:jc w:val="center"/>
              <w:outlineLvl w:val="1"/>
              <w:rPr>
                <w:rFonts w:ascii="方正书宋_GBK" w:eastAsia="方正书宋_GBK"/>
                <w:szCs w:val="21"/>
              </w:rPr>
            </w:pPr>
          </w:p>
        </w:tc>
        <w:tc>
          <w:tcPr>
            <w:tcW w:w="827" w:type="dxa"/>
            <w:gridSpan w:val="2"/>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17.35</w:t>
            </w:r>
          </w:p>
        </w:tc>
        <w:tc>
          <w:tcPr>
            <w:tcW w:w="1015"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239.63</w:t>
            </w:r>
          </w:p>
        </w:tc>
        <w:tc>
          <w:tcPr>
            <w:tcW w:w="284" w:type="dxa"/>
            <w:shd w:val="clear" w:color="auto" w:fill="auto"/>
            <w:vAlign w:val="center"/>
          </w:tcPr>
          <w:p>
            <w:pPr>
              <w:widowControl/>
              <w:jc w:val="center"/>
              <w:outlineLvl w:val="1"/>
              <w:rPr>
                <w:rFonts w:ascii="方正书宋_GBK" w:eastAsia="方正书宋_GBK"/>
                <w:szCs w:val="21"/>
              </w:rPr>
            </w:pPr>
          </w:p>
        </w:tc>
        <w:tc>
          <w:tcPr>
            <w:tcW w:w="283" w:type="dxa"/>
            <w:shd w:val="clear" w:color="auto" w:fill="auto"/>
            <w:vAlign w:val="center"/>
          </w:tcPr>
          <w:p>
            <w:pPr>
              <w:widowControl/>
              <w:jc w:val="center"/>
              <w:outlineLvl w:val="1"/>
              <w:rPr>
                <w:rFonts w:ascii="方正书宋_GBK" w:eastAsia="方正书宋_GBK"/>
                <w:szCs w:val="21"/>
              </w:rPr>
            </w:pPr>
          </w:p>
        </w:tc>
        <w:tc>
          <w:tcPr>
            <w:tcW w:w="284" w:type="dxa"/>
            <w:shd w:val="clear" w:color="auto" w:fill="auto"/>
            <w:vAlign w:val="center"/>
          </w:tcPr>
          <w:p>
            <w:pPr>
              <w:widowControl/>
              <w:jc w:val="center"/>
              <w:outlineLvl w:val="1"/>
              <w:rPr>
                <w:rFonts w:ascii="方正书宋_GBK" w:eastAsia="方正书宋_GBK"/>
                <w:szCs w:val="21"/>
              </w:rPr>
            </w:pPr>
          </w:p>
        </w:tc>
        <w:tc>
          <w:tcPr>
            <w:tcW w:w="709" w:type="dxa"/>
            <w:shd w:val="clear" w:color="auto" w:fill="auto"/>
            <w:vAlign w:val="center"/>
          </w:tcPr>
          <w:p>
            <w:pPr>
              <w:widowControl/>
              <w:jc w:val="center"/>
              <w:outlineLvl w:val="1"/>
              <w:rPr>
                <w:rFonts w:ascii="方正书宋_GBK" w:eastAsia="方正书宋_GBK"/>
                <w:szCs w:val="21"/>
              </w:rPr>
            </w:pPr>
            <w:r>
              <w:rPr>
                <w:rFonts w:hint="eastAsia" w:ascii="方正书宋_GBK" w:eastAsia="方正书宋_GBK"/>
                <w:szCs w:val="21"/>
              </w:rPr>
              <w:t>11.5</w:t>
            </w: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left"/>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编制单位：自治区国土资源执法监察总队 （汇总）     单位：万元                                        </w:t>
      </w:r>
    </w:p>
    <w:tbl>
      <w:tblPr>
        <w:tblStyle w:val="7"/>
        <w:tblW w:w="9008" w:type="dxa"/>
        <w:tblInd w:w="108" w:type="dxa"/>
        <w:tblLayout w:type="fixed"/>
        <w:tblCellMar>
          <w:top w:w="0" w:type="dxa"/>
          <w:left w:w="108" w:type="dxa"/>
          <w:bottom w:w="0" w:type="dxa"/>
          <w:right w:w="108" w:type="dxa"/>
        </w:tblCellMar>
      </w:tblPr>
      <w:tblGrid>
        <w:gridCol w:w="2127"/>
        <w:gridCol w:w="992"/>
        <w:gridCol w:w="850"/>
        <w:gridCol w:w="1134"/>
        <w:gridCol w:w="1134"/>
        <w:gridCol w:w="1418"/>
        <w:gridCol w:w="1353"/>
      </w:tblGrid>
      <w:tr>
        <w:tblPrEx>
          <w:tblCellMar>
            <w:top w:w="0" w:type="dxa"/>
            <w:left w:w="108" w:type="dxa"/>
            <w:bottom w:w="0" w:type="dxa"/>
            <w:right w:w="108" w:type="dxa"/>
          </w:tblCellMar>
        </w:tblPrEx>
        <w:trPr>
          <w:trHeight w:val="546" w:hRule="atLeast"/>
        </w:trPr>
        <w:tc>
          <w:tcPr>
            <w:tcW w:w="2127" w:type="dxa"/>
            <w:vMerge w:val="restart"/>
            <w:tcBorders>
              <w:top w:val="single" w:color="auto" w:sz="4" w:space="0"/>
              <w:left w:val="single" w:color="auto" w:sz="4" w:space="0"/>
              <w:right w:val="single" w:color="auto" w:sz="4" w:space="0"/>
            </w:tcBorders>
          </w:tcPr>
          <w:p>
            <w:pPr>
              <w:widowControl/>
              <w:jc w:val="center"/>
              <w:rPr>
                <w:rFonts w:ascii="仿宋_GB2312" w:hAnsi="宋体" w:eastAsia="仿宋_GB2312" w:cs="宋体"/>
                <w:b/>
                <w:bCs/>
                <w:color w:val="000000"/>
                <w:kern w:val="0"/>
                <w:sz w:val="22"/>
                <w:szCs w:val="22"/>
              </w:rPr>
            </w:pPr>
          </w:p>
          <w:p>
            <w:pPr>
              <w:widowControl/>
              <w:jc w:val="center"/>
              <w:rPr>
                <w:rFonts w:ascii="仿宋_GB2312" w:hAnsi="宋体" w:eastAsia="仿宋_GB2312" w:cs="宋体"/>
                <w:b/>
                <w:bCs/>
                <w:color w:val="000000"/>
                <w:kern w:val="0"/>
                <w:sz w:val="22"/>
                <w:szCs w:val="22"/>
              </w:rPr>
            </w:pPr>
          </w:p>
          <w:p>
            <w:pPr>
              <w:widowControl/>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单位名称</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8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368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3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blPrEx>
          <w:tblCellMar>
            <w:top w:w="0" w:type="dxa"/>
            <w:left w:w="108" w:type="dxa"/>
            <w:bottom w:w="0" w:type="dxa"/>
            <w:right w:w="108" w:type="dxa"/>
          </w:tblCellMar>
        </w:tblPrEx>
        <w:trPr>
          <w:trHeight w:val="810" w:hRule="atLeast"/>
        </w:trPr>
        <w:tc>
          <w:tcPr>
            <w:tcW w:w="2127" w:type="dxa"/>
            <w:vMerge w:val="continue"/>
            <w:tcBorders>
              <w:left w:val="single" w:color="auto" w:sz="4" w:space="0"/>
              <w:bottom w:val="single" w:color="auto" w:sz="4" w:space="0"/>
              <w:right w:val="single" w:color="auto" w:sz="4" w:space="0"/>
            </w:tcBorders>
          </w:tcPr>
          <w:p>
            <w:pPr>
              <w:widowControl/>
              <w:jc w:val="left"/>
              <w:rPr>
                <w:rFonts w:ascii="仿宋_GB2312" w:hAnsi="宋体" w:eastAsia="仿宋_GB2312" w:cs="宋体"/>
                <w:b/>
                <w:bCs/>
                <w:color w:val="000000"/>
                <w:kern w:val="0"/>
                <w:sz w:val="22"/>
                <w:szCs w:val="22"/>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3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1178" w:hRule="atLeast"/>
        </w:trPr>
        <w:tc>
          <w:tcPr>
            <w:tcW w:w="212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自治区国土资源执法监察总队</w:t>
            </w:r>
          </w:p>
        </w:tc>
        <w:tc>
          <w:tcPr>
            <w:tcW w:w="99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18</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18</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18</w:t>
            </w:r>
          </w:p>
        </w:tc>
        <w:tc>
          <w:tcPr>
            <w:tcW w:w="1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1399" w:hRule="atLeast"/>
        </w:trPr>
        <w:tc>
          <w:tcPr>
            <w:tcW w:w="212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克孜勒苏柯尔克孜自治州国土资源执法监察支队</w:t>
            </w:r>
          </w:p>
        </w:tc>
        <w:tc>
          <w:tcPr>
            <w:tcW w:w="99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4.92</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4.92</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4.7</w:t>
            </w:r>
          </w:p>
        </w:tc>
        <w:tc>
          <w:tcPr>
            <w:tcW w:w="1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0.22</w:t>
            </w:r>
          </w:p>
        </w:tc>
      </w:tr>
      <w:tr>
        <w:tblPrEx>
          <w:tblCellMar>
            <w:top w:w="0" w:type="dxa"/>
            <w:left w:w="108" w:type="dxa"/>
            <w:bottom w:w="0" w:type="dxa"/>
            <w:right w:w="108" w:type="dxa"/>
          </w:tblCellMar>
        </w:tblPrEx>
        <w:trPr>
          <w:trHeight w:val="1172" w:hRule="atLeast"/>
        </w:trPr>
        <w:tc>
          <w:tcPr>
            <w:tcW w:w="212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库尔勒市国土资源执法监察大队</w:t>
            </w:r>
          </w:p>
        </w:tc>
        <w:tc>
          <w:tcPr>
            <w:tcW w:w="99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1.93</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1.93</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1.89</w:t>
            </w:r>
          </w:p>
        </w:tc>
        <w:tc>
          <w:tcPr>
            <w:tcW w:w="1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0.04</w:t>
            </w:r>
          </w:p>
        </w:tc>
      </w:tr>
      <w:tr>
        <w:tblPrEx>
          <w:tblCellMar>
            <w:top w:w="0" w:type="dxa"/>
            <w:left w:w="108" w:type="dxa"/>
            <w:bottom w:w="0" w:type="dxa"/>
            <w:right w:w="108" w:type="dxa"/>
          </w:tblCellMar>
        </w:tblPrEx>
        <w:trPr>
          <w:trHeight w:val="1096" w:hRule="atLeast"/>
        </w:trPr>
        <w:tc>
          <w:tcPr>
            <w:tcW w:w="212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青河县国土资源执法监察大队</w:t>
            </w:r>
          </w:p>
        </w:tc>
        <w:tc>
          <w:tcPr>
            <w:tcW w:w="99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0.9</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0.9</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0.85</w:t>
            </w:r>
          </w:p>
        </w:tc>
        <w:tc>
          <w:tcPr>
            <w:tcW w:w="1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r>
              <w:rPr>
                <w:rFonts w:hint="eastAsia" w:ascii="宋体" w:hAnsi="宋体" w:cs="宋体"/>
                <w:color w:val="000000"/>
                <w:kern w:val="0"/>
                <w:sz w:val="24"/>
              </w:rPr>
              <w:t>　0.05</w:t>
            </w:r>
          </w:p>
        </w:tc>
      </w:tr>
      <w:tr>
        <w:tblPrEx>
          <w:tblCellMar>
            <w:top w:w="0" w:type="dxa"/>
            <w:left w:w="108" w:type="dxa"/>
            <w:bottom w:w="0" w:type="dxa"/>
            <w:right w:w="108" w:type="dxa"/>
          </w:tblCellMar>
        </w:tblPrEx>
        <w:trPr>
          <w:trHeight w:val="583" w:hRule="atLeast"/>
        </w:trPr>
        <w:tc>
          <w:tcPr>
            <w:tcW w:w="2127" w:type="dxa"/>
            <w:tcBorders>
              <w:top w:val="nil"/>
              <w:left w:val="single" w:color="auto" w:sz="4" w:space="0"/>
              <w:bottom w:val="nil"/>
              <w:right w:val="single" w:color="auto" w:sz="4" w:space="0"/>
            </w:tcBorders>
            <w:vAlign w:val="center"/>
          </w:tcPr>
          <w:p>
            <w:pPr>
              <w:widowControl/>
              <w:jc w:val="center"/>
              <w:rPr>
                <w:rFonts w:ascii="宋体" w:hAnsi="宋体" w:cs="宋体"/>
                <w:color w:val="000000"/>
                <w:kern w:val="0"/>
                <w:sz w:val="24"/>
              </w:rPr>
            </w:pPr>
          </w:p>
          <w:p>
            <w:pPr>
              <w:widowControl/>
              <w:jc w:val="center"/>
              <w:rPr>
                <w:rFonts w:ascii="宋体" w:hAnsi="宋体" w:cs="宋体"/>
                <w:color w:val="000000"/>
                <w:kern w:val="0"/>
                <w:sz w:val="24"/>
              </w:rPr>
            </w:pPr>
          </w:p>
          <w:p>
            <w:pPr>
              <w:widowControl/>
              <w:jc w:val="center"/>
              <w:rPr>
                <w:rFonts w:ascii="宋体" w:hAnsi="宋体" w:cs="宋体"/>
                <w:color w:val="000000"/>
                <w:kern w:val="0"/>
                <w:sz w:val="24"/>
              </w:rPr>
            </w:pPr>
            <w:r>
              <w:rPr>
                <w:rFonts w:hint="eastAsia" w:ascii="宋体" w:hAnsi="宋体" w:cs="宋体"/>
                <w:color w:val="000000"/>
                <w:kern w:val="0"/>
                <w:sz w:val="24"/>
              </w:rPr>
              <w:t>合计</w:t>
            </w:r>
          </w:p>
        </w:tc>
        <w:tc>
          <w:tcPr>
            <w:tcW w:w="992"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24"/>
              </w:rPr>
            </w:pPr>
          </w:p>
        </w:tc>
        <w:tc>
          <w:tcPr>
            <w:tcW w:w="850"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24"/>
              </w:rPr>
            </w:pPr>
          </w:p>
        </w:tc>
        <w:tc>
          <w:tcPr>
            <w:tcW w:w="1134"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24"/>
              </w:rPr>
            </w:pPr>
          </w:p>
        </w:tc>
        <w:tc>
          <w:tcPr>
            <w:tcW w:w="1134"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24"/>
              </w:rPr>
            </w:pPr>
          </w:p>
        </w:tc>
        <w:tc>
          <w:tcPr>
            <w:tcW w:w="1418"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24"/>
              </w:rPr>
            </w:pPr>
          </w:p>
        </w:tc>
        <w:tc>
          <w:tcPr>
            <w:tcW w:w="1353"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24"/>
              </w:rPr>
            </w:pPr>
          </w:p>
        </w:tc>
      </w:tr>
      <w:tr>
        <w:tblPrEx>
          <w:tblCellMar>
            <w:top w:w="0" w:type="dxa"/>
            <w:left w:w="108" w:type="dxa"/>
            <w:bottom w:w="0" w:type="dxa"/>
            <w:right w:w="108" w:type="dxa"/>
          </w:tblCellMar>
        </w:tblPrEx>
        <w:trPr>
          <w:trHeight w:val="322" w:hRule="atLeast"/>
        </w:trPr>
        <w:tc>
          <w:tcPr>
            <w:tcW w:w="212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p>
        </w:tc>
        <w:tc>
          <w:tcPr>
            <w:tcW w:w="9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25.75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25.75</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25.44</w:t>
            </w:r>
          </w:p>
        </w:tc>
        <w:tc>
          <w:tcPr>
            <w:tcW w:w="1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0.31</w:t>
            </w:r>
          </w:p>
        </w:tc>
      </w:tr>
    </w:tbl>
    <w:p>
      <w:pPr>
        <w:widowControl/>
        <w:ind w:firstLine="422" w:firstLineChars="150"/>
        <w:outlineLvl w:val="1"/>
        <w:rPr>
          <w:rFonts w:ascii="仿宋_GB2312" w:hAnsi="宋体" w:eastAsia="仿宋_GB2312"/>
          <w:b/>
          <w:kern w:val="0"/>
          <w:sz w:val="28"/>
          <w:szCs w:val="32"/>
        </w:rPr>
      </w:pPr>
    </w:p>
    <w:p>
      <w:pPr>
        <w:widowControl/>
        <w:ind w:firstLine="422" w:firstLineChars="150"/>
        <w:outlineLvl w:val="1"/>
        <w:rPr>
          <w:rFonts w:ascii="仿宋_GB2312" w:hAnsi="宋体" w:eastAsia="仿宋_GB2312"/>
          <w:b/>
          <w:kern w:val="0"/>
          <w:sz w:val="32"/>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表九：</w:t>
      </w:r>
    </w:p>
    <w:p>
      <w:pPr>
        <w:widowControl/>
        <w:ind w:left="-567" w:leftChars="-27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ind w:left="-567" w:leftChars="-270"/>
        <w:jc w:val="center"/>
        <w:outlineLvl w:val="1"/>
        <w:rPr>
          <w:rFonts w:ascii="仿宋_GB2312" w:hAnsi="宋体" w:eastAsia="仿宋_GB2312"/>
          <w:b/>
          <w:kern w:val="0"/>
          <w:sz w:val="32"/>
          <w:szCs w:val="32"/>
        </w:rPr>
      </w:pPr>
    </w:p>
    <w:p>
      <w:pPr>
        <w:widowControl/>
        <w:outlineLvl w:val="1"/>
        <w:rPr>
          <w:rFonts w:ascii="仿宋_GB2312" w:hAnsi="宋体" w:eastAsia="仿宋_GB2312"/>
          <w:kern w:val="0"/>
          <w:sz w:val="24"/>
        </w:rPr>
      </w:pPr>
      <w:r>
        <w:rPr>
          <w:rFonts w:hint="eastAsia" w:ascii="仿宋_GB2312" w:hAnsi="宋体" w:eastAsia="仿宋_GB2312"/>
          <w:kern w:val="0"/>
          <w:sz w:val="24"/>
        </w:rPr>
        <w:t xml:space="preserve">编制单位：自治区国土资源执法监察总队 （汇总） </w:t>
      </w:r>
      <w:r>
        <w:rPr>
          <w:rFonts w:hint="eastAsia" w:ascii="仿宋_GB2312" w:hAnsi="宋体" w:eastAsia="仿宋_GB2312"/>
          <w:kern w:val="0"/>
          <w:sz w:val="28"/>
          <w:szCs w:val="28"/>
        </w:rPr>
        <w:t xml:space="preserve"> </w:t>
      </w:r>
      <w:r>
        <w:rPr>
          <w:rFonts w:hint="eastAsia" w:ascii="仿宋_GB2312" w:hAnsi="宋体" w:eastAsia="仿宋_GB2312"/>
          <w:kern w:val="0"/>
          <w:sz w:val="24"/>
        </w:rPr>
        <w:t xml:space="preserve">           单位：万元                            </w:t>
      </w:r>
    </w:p>
    <w:tbl>
      <w:tblPr>
        <w:tblStyle w:val="7"/>
        <w:tblpPr w:leftFromText="180" w:rightFromText="180" w:vertAnchor="text" w:horzAnchor="margin" w:tblpY="226"/>
        <w:tblW w:w="9796" w:type="dxa"/>
        <w:tblInd w:w="0" w:type="dxa"/>
        <w:tblLayout w:type="fixed"/>
        <w:tblCellMar>
          <w:top w:w="0" w:type="dxa"/>
          <w:left w:w="108" w:type="dxa"/>
          <w:bottom w:w="0" w:type="dxa"/>
          <w:right w:w="108" w:type="dxa"/>
        </w:tblCellMar>
      </w:tblPr>
      <w:tblGrid>
        <w:gridCol w:w="459"/>
        <w:gridCol w:w="567"/>
        <w:gridCol w:w="851"/>
        <w:gridCol w:w="2693"/>
        <w:gridCol w:w="1701"/>
        <w:gridCol w:w="1843"/>
        <w:gridCol w:w="1682"/>
      </w:tblGrid>
      <w:tr>
        <w:tblPrEx>
          <w:tblCellMar>
            <w:top w:w="0" w:type="dxa"/>
            <w:left w:w="108" w:type="dxa"/>
            <w:bottom w:w="0" w:type="dxa"/>
            <w:right w:w="108" w:type="dxa"/>
          </w:tblCellMar>
        </w:tblPrEx>
        <w:trPr>
          <w:trHeight w:val="465" w:hRule="atLeast"/>
        </w:trPr>
        <w:tc>
          <w:tcPr>
            <w:tcW w:w="45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522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87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69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84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682" w:type="dxa"/>
            <w:vMerge w:val="restart"/>
            <w:tcBorders>
              <w:top w:val="nil"/>
              <w:left w:val="single" w:color="auto" w:sz="4" w:space="0"/>
              <w:bottom w:val="single" w:color="000000" w:sz="4" w:space="0"/>
              <w:right w:val="single" w:color="auto" w:sz="4" w:space="0"/>
            </w:tcBorders>
            <w:shd w:val="clear" w:color="auto" w:fill="auto"/>
            <w:vAlign w:val="center"/>
          </w:tcPr>
          <w:p>
            <w:pPr>
              <w:widowControl/>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CellMar>
            <w:top w:w="0" w:type="dxa"/>
            <w:left w:w="108" w:type="dxa"/>
            <w:bottom w:w="0" w:type="dxa"/>
            <w:right w:w="108" w:type="dxa"/>
          </w:tblCellMar>
        </w:tblPrEx>
        <w:trPr>
          <w:trHeight w:val="315"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69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84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68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6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843"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68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843"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68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68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68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68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68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c>
          <w:tcPr>
            <w:tcW w:w="168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45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843"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68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bl>
    <w:p>
      <w:pPr>
        <w:widowControl/>
        <w:ind w:firstLine="281" w:firstLineChars="100"/>
        <w:outlineLvl w:val="1"/>
        <w:rPr>
          <w:rFonts w:ascii="仿宋_GB2312" w:hAnsi="宋体" w:eastAsia="仿宋_GB2312"/>
          <w:b/>
          <w:kern w:val="0"/>
          <w:sz w:val="28"/>
          <w:szCs w:val="32"/>
        </w:rPr>
      </w:pPr>
    </w:p>
    <w:p>
      <w:pPr>
        <w:widowControl/>
        <w:ind w:firstLine="281" w:firstLineChars="100"/>
        <w:outlineLvl w:val="1"/>
        <w:rPr>
          <w:rFonts w:ascii="仿宋_GB2312" w:hAnsi="宋体" w:eastAsia="仿宋_GB2312"/>
          <w:b/>
          <w:kern w:val="0"/>
          <w:sz w:val="28"/>
          <w:szCs w:val="32"/>
        </w:rPr>
        <w:sectPr>
          <w:footerReference r:id="rId3" w:type="default"/>
          <w:footerReference r:id="rId4" w:type="even"/>
          <w:pgSz w:w="11906" w:h="16838"/>
          <w:pgMar w:top="1797" w:right="2125" w:bottom="1797" w:left="1440" w:header="851" w:footer="992" w:gutter="0"/>
          <w:pgNumType w:fmt="numberInDash"/>
          <w:cols w:space="720" w:num="1"/>
          <w:docGrid w:linePitch="312" w:charSpace="0"/>
        </w:sectPr>
      </w:pPr>
      <w:r>
        <w:rPr>
          <w:rFonts w:hint="eastAsia" w:ascii="仿宋_GB2312" w:hAnsi="宋体" w:eastAsia="仿宋_GB2312"/>
          <w:b/>
          <w:kern w:val="0"/>
          <w:sz w:val="28"/>
          <w:szCs w:val="32"/>
        </w:rPr>
        <w:t>备注：无内容应公开空表并说明</w:t>
      </w:r>
    </w:p>
    <w:p>
      <w:pPr>
        <w:widowControl/>
        <w:jc w:val="left"/>
        <w:rPr>
          <w:rFonts w:ascii="黑体" w:hAnsi="黑体" w:eastAsia="黑体"/>
          <w:kern w:val="0"/>
          <w:sz w:val="32"/>
          <w:szCs w:val="32"/>
        </w:rPr>
      </w:pPr>
    </w:p>
    <w:p>
      <w:pPr>
        <w:spacing w:line="560" w:lineRule="exact"/>
        <w:jc w:val="center"/>
        <w:rPr>
          <w:rFonts w:ascii="黑体" w:hAnsi="黑体" w:eastAsia="黑体"/>
          <w:b/>
          <w:kern w:val="0"/>
          <w:sz w:val="36"/>
          <w:szCs w:val="36"/>
        </w:rPr>
      </w:pPr>
      <w:r>
        <w:rPr>
          <w:rFonts w:hint="eastAsia" w:ascii="黑体" w:hAnsi="黑体" w:eastAsia="黑体"/>
          <w:b/>
          <w:kern w:val="0"/>
          <w:sz w:val="36"/>
          <w:szCs w:val="36"/>
        </w:rPr>
        <w:t>第三部分  2020年自治区国土资源执法监察总队部门部门预算情况说明</w:t>
      </w:r>
    </w:p>
    <w:p>
      <w:pPr>
        <w:spacing w:line="560" w:lineRule="exact"/>
        <w:ind w:firstLine="800" w:firstLineChars="250"/>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w:t>
      </w:r>
      <w:bookmarkStart w:id="0" w:name="_GoBack"/>
      <w:bookmarkEnd w:id="0"/>
      <w:r>
        <w:rPr>
          <w:rFonts w:hint="eastAsia" w:ascii="黑体" w:hAnsi="黑体" w:eastAsia="黑体"/>
          <w:sz w:val="32"/>
          <w:szCs w:val="32"/>
        </w:rPr>
        <w:t>自治区国土资源执法监察总队（汇总）</w:t>
      </w:r>
      <w:r>
        <w:rPr>
          <w:rFonts w:hint="eastAsia" w:ascii="黑体" w:hAnsi="宋体" w:eastAsia="黑体" w:cs="宋体"/>
          <w:kern w:val="0"/>
          <w:sz w:val="32"/>
          <w:szCs w:val="32"/>
        </w:rPr>
        <w:t>部门2020年收支预算情况的总体说明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eastAsia="仿宋_GB2312"/>
          <w:sz w:val="32"/>
          <w:szCs w:val="32"/>
        </w:rPr>
        <w:t>自治区国土资源执法监察总队2020</w:t>
      </w:r>
      <w:r>
        <w:rPr>
          <w:rFonts w:hint="eastAsia" w:ascii="仿宋_GB2312" w:hAnsi="宋体" w:eastAsia="仿宋_GB2312" w:cs="宋体"/>
          <w:kern w:val="0"/>
          <w:sz w:val="32"/>
          <w:szCs w:val="32"/>
        </w:rPr>
        <w:t>年所有收入和支出均纳入部门预算管理。收支总预算13746.1万元。</w:t>
      </w:r>
    </w:p>
    <w:p>
      <w:pPr>
        <w:spacing w:line="560" w:lineRule="exact"/>
        <w:ind w:firstLine="640" w:firstLineChars="200"/>
        <w:rPr>
          <w:rFonts w:ascii="黑体" w:hAnsi="宋体" w:eastAsia="黑体" w:cs="宋体"/>
          <w:kern w:val="0"/>
          <w:sz w:val="32"/>
          <w:szCs w:val="32"/>
        </w:rPr>
      </w:pPr>
      <w:r>
        <w:rPr>
          <w:rFonts w:hint="eastAsia" w:ascii="仿宋_GB2312" w:hAnsi="宋体" w:eastAsia="仿宋_GB2312" w:cs="宋体"/>
          <w:kern w:val="0"/>
          <w:sz w:val="32"/>
          <w:szCs w:val="32"/>
        </w:rPr>
        <w:t>二、</w:t>
      </w:r>
      <w:r>
        <w:rPr>
          <w:rFonts w:hint="eastAsia" w:ascii="黑体" w:hAnsi="黑体" w:eastAsia="黑体"/>
          <w:sz w:val="32"/>
          <w:szCs w:val="32"/>
        </w:rPr>
        <w:t>关于自治区国土资源执法监察总队（汇总）部门</w:t>
      </w:r>
      <w:r>
        <w:rPr>
          <w:rFonts w:hint="eastAsia" w:ascii="黑体" w:hAnsi="宋体" w:eastAsia="黑体" w:cs="宋体"/>
          <w:kern w:val="0"/>
          <w:sz w:val="32"/>
          <w:szCs w:val="32"/>
        </w:rPr>
        <w:t>2020年收入预算情况的说明</w:t>
      </w:r>
    </w:p>
    <w:p>
      <w:pPr>
        <w:spacing w:line="560" w:lineRule="exact"/>
        <w:ind w:firstLine="640" w:firstLineChars="200"/>
        <w:rPr>
          <w:rFonts w:ascii="仿宋_GB2312" w:hAnsi="宋体" w:eastAsia="仿宋_GB2312" w:cs="宋体"/>
          <w:color w:val="FF0000"/>
          <w:kern w:val="0"/>
          <w:sz w:val="32"/>
          <w:szCs w:val="32"/>
        </w:rPr>
      </w:pPr>
      <w:r>
        <w:rPr>
          <w:rFonts w:hint="eastAsia" w:ascii="仿宋_GB2312" w:hAnsi="宋体" w:eastAsia="仿宋_GB2312" w:cs="宋体"/>
          <w:kern w:val="0"/>
          <w:sz w:val="32"/>
          <w:szCs w:val="32"/>
        </w:rPr>
        <w:t>收入预算包括：一般公共预算13746.1万元，其中：一般公共预算13746.1万元</w:t>
      </w:r>
      <w:r>
        <w:rPr>
          <w:rFonts w:hint="eastAsia" w:ascii="仿宋_GB2312" w:hAnsi="宋体" w:eastAsia="仿宋_GB2312" w:cs="宋体"/>
          <w:color w:val="000000" w:themeColor="text1"/>
          <w:kern w:val="0"/>
          <w:sz w:val="32"/>
          <w:szCs w:val="32"/>
        </w:rPr>
        <w:t>，占100%，比上年减少450.7万元，原因财政压减经费。</w:t>
      </w:r>
    </w:p>
    <w:p>
      <w:pPr>
        <w:spacing w:line="560" w:lineRule="exact"/>
        <w:ind w:firstLine="480" w:firstLineChars="150"/>
        <w:rPr>
          <w:rFonts w:ascii="黑体" w:hAnsi="黑体" w:eastAsia="黑体"/>
          <w:sz w:val="32"/>
          <w:szCs w:val="32"/>
        </w:rPr>
      </w:pPr>
      <w:r>
        <w:rPr>
          <w:rFonts w:hint="eastAsia" w:ascii="仿宋" w:hAnsi="仿宋" w:eastAsia="仿宋"/>
          <w:sz w:val="32"/>
          <w:szCs w:val="32"/>
        </w:rPr>
        <w:t>三、</w:t>
      </w:r>
      <w:r>
        <w:rPr>
          <w:rFonts w:hint="eastAsia" w:ascii="黑体" w:hAnsi="黑体" w:eastAsia="黑体"/>
          <w:sz w:val="32"/>
          <w:szCs w:val="32"/>
        </w:rPr>
        <w:t>关于自治区国土资源执法监察总队（汇总）部门2020年支出预算情况说明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自治区国土资源执法监察总队部门2020年支出预算</w:t>
      </w:r>
      <w:r>
        <w:rPr>
          <w:rFonts w:hint="eastAsia" w:ascii="仿宋_GB2312" w:hAnsi="宋体" w:eastAsia="仿宋_GB2312" w:cs="宋体"/>
          <w:kern w:val="0"/>
          <w:sz w:val="32"/>
          <w:szCs w:val="32"/>
        </w:rPr>
        <w:t>13746.1</w:t>
      </w:r>
      <w:r>
        <w:rPr>
          <w:rFonts w:hint="eastAsia" w:ascii="仿宋" w:hAnsi="仿宋" w:eastAsia="仿宋"/>
          <w:sz w:val="32"/>
          <w:szCs w:val="32"/>
        </w:rPr>
        <w:t>万元， 2020年基本支出9010.1万元，占65.56</w:t>
      </w:r>
      <w:r>
        <w:rPr>
          <w:rFonts w:hint="eastAsia" w:ascii="仿宋" w:hAnsi="仿宋" w:eastAsia="仿宋"/>
          <w:color w:val="FF0000"/>
          <w:sz w:val="32"/>
          <w:szCs w:val="32"/>
        </w:rPr>
        <w:t xml:space="preserve"> </w:t>
      </w:r>
      <w:r>
        <w:rPr>
          <w:rFonts w:hint="eastAsia" w:ascii="仿宋" w:hAnsi="仿宋" w:eastAsia="仿宋"/>
          <w:sz w:val="32"/>
          <w:szCs w:val="32"/>
        </w:rPr>
        <w:t>%，比上年增加49.3</w:t>
      </w:r>
      <w:r>
        <w:rPr>
          <w:rFonts w:hint="eastAsia" w:ascii="仿宋" w:hAnsi="仿宋" w:eastAsia="仿宋"/>
          <w:color w:val="FF0000"/>
          <w:sz w:val="32"/>
          <w:szCs w:val="32"/>
        </w:rPr>
        <w:t xml:space="preserve"> </w:t>
      </w:r>
      <w:r>
        <w:rPr>
          <w:rFonts w:hint="eastAsia" w:ascii="仿宋" w:hAnsi="仿宋" w:eastAsia="仿宋"/>
          <w:sz w:val="32"/>
          <w:szCs w:val="32"/>
        </w:rPr>
        <w:t>万元。增加主要是因为在职和退休人员基本工资提高标准、在职人员工资调标</w:t>
      </w:r>
      <w:r>
        <w:rPr>
          <w:rFonts w:hint="eastAsia" w:ascii="仿宋" w:hAnsi="仿宋" w:eastAsia="仿宋"/>
          <w:color w:val="0D0D0D"/>
          <w:sz w:val="32"/>
          <w:szCs w:val="32"/>
        </w:rPr>
        <w:t>。</w:t>
      </w:r>
    </w:p>
    <w:p>
      <w:pPr>
        <w:spacing w:line="560" w:lineRule="exact"/>
        <w:ind w:firstLine="640" w:firstLineChars="200"/>
        <w:rPr>
          <w:rFonts w:ascii="仿宋" w:hAnsi="仿宋" w:eastAsia="仿宋"/>
          <w:color w:val="0D0D0D"/>
          <w:sz w:val="32"/>
          <w:szCs w:val="32"/>
        </w:rPr>
      </w:pPr>
      <w:r>
        <w:rPr>
          <w:rFonts w:hint="eastAsia" w:ascii="仿宋" w:hAnsi="仿宋" w:eastAsia="仿宋"/>
          <w:sz w:val="32"/>
          <w:szCs w:val="32"/>
        </w:rPr>
        <w:t>2020年</w:t>
      </w:r>
      <w:r>
        <w:rPr>
          <w:rFonts w:hint="eastAsia" w:ascii="仿宋" w:hAnsi="仿宋" w:eastAsia="仿宋"/>
          <w:color w:val="0D0D0D"/>
          <w:sz w:val="32"/>
          <w:szCs w:val="32"/>
        </w:rPr>
        <w:t>项目</w:t>
      </w:r>
      <w:r>
        <w:rPr>
          <w:rFonts w:hint="eastAsia" w:ascii="仿宋" w:hAnsi="仿宋" w:eastAsia="仿宋"/>
          <w:sz w:val="32"/>
          <w:szCs w:val="32"/>
        </w:rPr>
        <w:t>支出预算</w:t>
      </w:r>
      <w:r>
        <w:rPr>
          <w:rFonts w:hint="eastAsia" w:ascii="仿宋" w:hAnsi="仿宋" w:eastAsia="仿宋"/>
          <w:color w:val="0D0D0D"/>
          <w:sz w:val="32"/>
          <w:szCs w:val="32"/>
        </w:rPr>
        <w:t>4736万元，占34.44%，比上年减少</w:t>
      </w:r>
      <w:r>
        <w:rPr>
          <w:rFonts w:hint="eastAsia" w:ascii="仿宋" w:hAnsi="仿宋" w:eastAsia="仿宋"/>
          <w:color w:val="000000" w:themeColor="text1"/>
          <w:sz w:val="32"/>
          <w:szCs w:val="32"/>
        </w:rPr>
        <w:t>500</w:t>
      </w:r>
      <w:r>
        <w:rPr>
          <w:rFonts w:hint="eastAsia" w:ascii="仿宋" w:hAnsi="仿宋" w:eastAsia="仿宋"/>
          <w:color w:val="0D0D0D"/>
          <w:sz w:val="32"/>
          <w:szCs w:val="32"/>
        </w:rPr>
        <w:t>万元，主要因为财政压减经费。</w:t>
      </w:r>
    </w:p>
    <w:p>
      <w:pPr>
        <w:ind w:firstLine="640" w:firstLineChars="200"/>
        <w:rPr>
          <w:rFonts w:ascii="黑体" w:hAnsi="黑体" w:eastAsia="黑体"/>
          <w:sz w:val="32"/>
          <w:szCs w:val="32"/>
        </w:rPr>
      </w:pPr>
      <w:r>
        <w:rPr>
          <w:rFonts w:hint="eastAsia" w:ascii="黑体" w:hAnsi="黑体" w:eastAsia="黑体" w:cs="宋体"/>
          <w:bCs/>
          <w:kern w:val="0"/>
          <w:sz w:val="32"/>
          <w:szCs w:val="32"/>
        </w:rPr>
        <w:t>四、</w:t>
      </w:r>
      <w:r>
        <w:rPr>
          <w:rFonts w:hint="eastAsia" w:ascii="黑体" w:hAnsi="黑体" w:eastAsia="黑体"/>
          <w:sz w:val="32"/>
          <w:szCs w:val="32"/>
        </w:rPr>
        <w:t>关于自治区国土资源执法监察总队（汇总）2020年财政拨款收支预算情况的总体说明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2020年财政拨款收支总预算为</w:t>
      </w:r>
      <w:r>
        <w:rPr>
          <w:rFonts w:hint="eastAsia" w:ascii="仿宋_GB2312" w:hAnsi="宋体" w:eastAsia="仿宋_GB2312" w:cs="宋体"/>
          <w:kern w:val="0"/>
          <w:sz w:val="32"/>
          <w:szCs w:val="32"/>
        </w:rPr>
        <w:t>13746.1</w:t>
      </w:r>
      <w:r>
        <w:rPr>
          <w:rFonts w:hint="eastAsia" w:ascii="仿宋" w:hAnsi="仿宋" w:eastAsia="仿宋"/>
          <w:sz w:val="32"/>
          <w:szCs w:val="32"/>
        </w:rPr>
        <w:t>万元。</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收入预算包括：一般公共预算拨款</w:t>
      </w:r>
      <w:r>
        <w:rPr>
          <w:rFonts w:hint="eastAsia" w:ascii="仿宋_GB2312" w:hAnsi="宋体" w:eastAsia="仿宋_GB2312" w:cs="宋体"/>
          <w:kern w:val="0"/>
          <w:sz w:val="32"/>
          <w:szCs w:val="32"/>
        </w:rPr>
        <w:t>13746.1</w:t>
      </w:r>
      <w:r>
        <w:rPr>
          <w:rFonts w:hint="eastAsia" w:ascii="仿宋" w:hAnsi="仿宋" w:eastAsia="仿宋"/>
          <w:sz w:val="32"/>
          <w:szCs w:val="32"/>
        </w:rPr>
        <w:t xml:space="preserve"> 万元。</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支出预算包括：社会保障和就业支出1084.3万元，主要用于机关事业单位基本养老保险缴费支出、机关事业单位职业年金缴费支出、退休人员生活补助、退休人员医疗费等。</w:t>
      </w:r>
    </w:p>
    <w:p>
      <w:pPr>
        <w:spacing w:line="560" w:lineRule="exact"/>
        <w:ind w:firstLine="640" w:firstLineChars="200"/>
        <w:rPr>
          <w:rFonts w:ascii="仿宋" w:hAnsi="仿宋" w:eastAsia="仿宋"/>
          <w:color w:val="0D0D0D"/>
          <w:sz w:val="32"/>
          <w:szCs w:val="32"/>
        </w:rPr>
      </w:pPr>
      <w:r>
        <w:rPr>
          <w:rFonts w:hint="eastAsia" w:ascii="仿宋" w:hAnsi="仿宋" w:eastAsia="仿宋"/>
          <w:sz w:val="32"/>
          <w:szCs w:val="32"/>
        </w:rPr>
        <w:t>自然资源海洋气象等支出</w:t>
      </w:r>
      <w:r>
        <w:rPr>
          <w:rFonts w:hint="eastAsia" w:ascii="仿宋" w:hAnsi="仿宋" w:eastAsia="仿宋"/>
          <w:color w:val="000000" w:themeColor="text1"/>
          <w:sz w:val="32"/>
          <w:szCs w:val="32"/>
        </w:rPr>
        <w:t>11171.12</w:t>
      </w:r>
      <w:r>
        <w:rPr>
          <w:rFonts w:hint="eastAsia" w:ascii="仿宋" w:hAnsi="仿宋" w:eastAsia="仿宋"/>
          <w:sz w:val="32"/>
          <w:szCs w:val="32"/>
        </w:rPr>
        <w:t>万元，主要是用于自然资源管理等方面的支出，包括基本支出、自然资源规划及管理、土地资源调查、土地资源利用与保护、自然资源社会公益服务、自然资源行业业务管理、自然资源调查、国土整治、地质矿产资源利用与保护等方面的</w:t>
      </w:r>
      <w:r>
        <w:rPr>
          <w:rFonts w:hint="eastAsia" w:ascii="仿宋" w:hAnsi="仿宋" w:eastAsia="仿宋"/>
          <w:color w:val="0D0D0D"/>
          <w:sz w:val="32"/>
          <w:szCs w:val="32"/>
        </w:rPr>
        <w:t>支出。</w:t>
      </w:r>
    </w:p>
    <w:p>
      <w:pPr>
        <w:spacing w:line="560" w:lineRule="exact"/>
        <w:ind w:firstLine="640" w:firstLineChars="200"/>
        <w:rPr>
          <w:rFonts w:ascii="仿宋" w:hAnsi="仿宋" w:eastAsia="仿宋"/>
          <w:color w:val="0D0D0D"/>
          <w:sz w:val="32"/>
          <w:szCs w:val="32"/>
        </w:rPr>
      </w:pPr>
      <w:r>
        <w:rPr>
          <w:rFonts w:hint="eastAsia" w:ascii="仿宋" w:hAnsi="仿宋" w:eastAsia="仿宋"/>
          <w:color w:val="0D0D0D"/>
          <w:sz w:val="32"/>
          <w:szCs w:val="32"/>
        </w:rPr>
        <w:t>住房保障支出652.7万元，主要用于缴纳在职人员住房公积金。</w:t>
      </w:r>
    </w:p>
    <w:p>
      <w:pPr>
        <w:spacing w:line="560" w:lineRule="exact"/>
        <w:ind w:firstLine="640" w:firstLineChars="200"/>
        <w:rPr>
          <w:rFonts w:ascii="仿宋_GB2312" w:hAnsi="宋体" w:eastAsia="仿宋_GB2312" w:cs="宋体"/>
          <w:b/>
          <w:kern w:val="0"/>
          <w:sz w:val="32"/>
          <w:szCs w:val="32"/>
        </w:rPr>
      </w:pPr>
      <w:r>
        <w:rPr>
          <w:rFonts w:hint="eastAsia" w:ascii="仿宋" w:hAnsi="仿宋" w:eastAsia="仿宋"/>
          <w:color w:val="0D0D0D"/>
          <w:sz w:val="32"/>
          <w:szCs w:val="32"/>
        </w:rPr>
        <w:t>卫生健康支出837.98万元，主要用于在职人员职工基本医疗保险缴费、公务员医疗补助。</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320" w:firstLineChars="100"/>
        <w:rPr>
          <w:rFonts w:ascii="黑体" w:hAnsi="黑体" w:eastAsia="黑体"/>
          <w:sz w:val="32"/>
          <w:szCs w:val="32"/>
        </w:rPr>
      </w:pPr>
      <w:r>
        <w:rPr>
          <w:rFonts w:hint="eastAsia" w:ascii="黑体" w:hAnsi="黑体" w:eastAsia="黑体"/>
          <w:sz w:val="32"/>
          <w:szCs w:val="32"/>
        </w:rPr>
        <w:t>五、关于自治区国土资源执法监察总队（汇总）部门2020年一般公共预算当年拨款情况说明</w:t>
      </w:r>
    </w:p>
    <w:p>
      <w:pPr>
        <w:ind w:firstLine="964" w:firstLineChars="300"/>
        <w:rPr>
          <w:rFonts w:ascii="仿宋" w:hAnsi="仿宋" w:eastAsia="仿宋"/>
          <w:b/>
          <w:sz w:val="32"/>
          <w:szCs w:val="32"/>
        </w:rPr>
      </w:pPr>
      <w:r>
        <w:rPr>
          <w:rFonts w:hint="eastAsia" w:ascii="仿宋" w:hAnsi="仿宋" w:eastAsia="仿宋"/>
          <w:b/>
          <w:sz w:val="32"/>
          <w:szCs w:val="32"/>
        </w:rPr>
        <w:t>（一）一般公共预算拨款当年拨款规模变化情况</w:t>
      </w:r>
    </w:p>
    <w:p>
      <w:pPr>
        <w:spacing w:line="560" w:lineRule="exact"/>
        <w:ind w:firstLine="640" w:firstLineChars="200"/>
        <w:rPr>
          <w:rFonts w:ascii="仿宋" w:hAnsi="仿宋" w:eastAsia="仿宋"/>
          <w:color w:val="0D0D0D"/>
          <w:sz w:val="32"/>
          <w:szCs w:val="32"/>
        </w:rPr>
      </w:pPr>
      <w:r>
        <w:rPr>
          <w:rFonts w:hint="eastAsia" w:ascii="仿宋" w:hAnsi="仿宋" w:eastAsia="仿宋"/>
          <w:sz w:val="32"/>
          <w:szCs w:val="32"/>
        </w:rPr>
        <w:t>2020年，自治区国土资源执法监察总队一般公共预算基本支出9010.1万元， 比2019年执行数10302.79万元，减少</w:t>
      </w:r>
      <w:r>
        <w:rPr>
          <w:rFonts w:hint="eastAsia" w:ascii="仿宋" w:hAnsi="仿宋" w:eastAsia="仿宋"/>
          <w:color w:val="000000" w:themeColor="text1"/>
          <w:sz w:val="32"/>
          <w:szCs w:val="32"/>
        </w:rPr>
        <w:t>1292.69</w:t>
      </w:r>
      <w:r>
        <w:rPr>
          <w:rFonts w:hint="eastAsia" w:ascii="仿宋" w:hAnsi="仿宋" w:eastAsia="仿宋"/>
          <w:sz w:val="32"/>
          <w:szCs w:val="32"/>
        </w:rPr>
        <w:t>万元，减少12.55</w:t>
      </w:r>
      <w:r>
        <w:rPr>
          <w:rFonts w:hint="eastAsia" w:ascii="仿宋" w:hAnsi="仿宋" w:eastAsia="仿宋"/>
          <w:color w:val="FF0000"/>
          <w:sz w:val="32"/>
          <w:szCs w:val="32"/>
        </w:rPr>
        <w:t xml:space="preserve"> </w:t>
      </w:r>
      <w:r>
        <w:rPr>
          <w:rFonts w:hint="eastAsia" w:ascii="仿宋" w:hAnsi="仿宋" w:eastAsia="仿宋"/>
          <w:sz w:val="32"/>
          <w:szCs w:val="32"/>
        </w:rPr>
        <w:t>%。减少原因为2019年执行数</w:t>
      </w:r>
      <w:r>
        <w:rPr>
          <w:rFonts w:hint="eastAsia" w:ascii="仿宋" w:hAnsi="仿宋" w:eastAsia="仿宋"/>
          <w:color w:val="0D0D0D"/>
          <w:sz w:val="32"/>
          <w:szCs w:val="32"/>
        </w:rPr>
        <w:t>中包含财政追加</w:t>
      </w:r>
      <w:r>
        <w:rPr>
          <w:rFonts w:hint="eastAsia" w:ascii="仿宋" w:hAnsi="仿宋" w:eastAsia="仿宋"/>
          <w:sz w:val="32"/>
          <w:szCs w:val="32"/>
        </w:rPr>
        <w:t xml:space="preserve">在职人员工资调资预算。    </w:t>
      </w:r>
    </w:p>
    <w:p>
      <w:pPr>
        <w:spacing w:line="560" w:lineRule="exact"/>
        <w:ind w:firstLine="964" w:firstLineChars="300"/>
        <w:rPr>
          <w:rFonts w:ascii="仿宋" w:hAnsi="仿宋" w:eastAsia="仿宋"/>
          <w:b/>
          <w:sz w:val="32"/>
          <w:szCs w:val="32"/>
        </w:rPr>
      </w:pPr>
      <w:r>
        <w:rPr>
          <w:rFonts w:hint="eastAsia" w:ascii="仿宋" w:hAnsi="仿宋" w:eastAsia="仿宋"/>
          <w:b/>
          <w:sz w:val="32"/>
          <w:szCs w:val="32"/>
        </w:rPr>
        <w:t>（二）一般公共预算当年拨款结构情况</w:t>
      </w:r>
    </w:p>
    <w:p>
      <w:pPr>
        <w:spacing w:line="560" w:lineRule="exact"/>
        <w:ind w:firstLine="960" w:firstLineChars="300"/>
        <w:rPr>
          <w:rFonts w:ascii="仿宋" w:hAnsi="仿宋" w:eastAsia="仿宋"/>
          <w:color w:val="0D0D0D"/>
          <w:sz w:val="32"/>
          <w:szCs w:val="32"/>
        </w:rPr>
      </w:pPr>
      <w:r>
        <w:rPr>
          <w:rFonts w:hint="eastAsia" w:ascii="仿宋" w:hAnsi="仿宋" w:eastAsia="仿宋"/>
          <w:color w:val="0D0D0D"/>
          <w:sz w:val="32"/>
          <w:szCs w:val="32"/>
        </w:rPr>
        <w:t>2020年一般公共预算为</w:t>
      </w:r>
      <w:r>
        <w:rPr>
          <w:rFonts w:hint="eastAsia" w:ascii="仿宋_GB2312" w:hAnsi="宋体" w:eastAsia="仿宋_GB2312" w:cs="宋体"/>
          <w:kern w:val="0"/>
          <w:sz w:val="32"/>
          <w:szCs w:val="32"/>
        </w:rPr>
        <w:t>13746.1</w:t>
      </w:r>
      <w:r>
        <w:rPr>
          <w:rFonts w:hint="eastAsia" w:ascii="仿宋" w:hAnsi="仿宋" w:eastAsia="仿宋"/>
          <w:color w:val="FF0000"/>
          <w:sz w:val="32"/>
          <w:szCs w:val="32"/>
        </w:rPr>
        <w:t xml:space="preserve"> </w:t>
      </w:r>
      <w:r>
        <w:rPr>
          <w:rFonts w:hint="eastAsia" w:ascii="仿宋" w:hAnsi="仿宋" w:eastAsia="仿宋"/>
          <w:color w:val="0D0D0D"/>
          <w:sz w:val="32"/>
          <w:szCs w:val="32"/>
        </w:rPr>
        <w:t>万元。</w:t>
      </w:r>
    </w:p>
    <w:p>
      <w:pPr>
        <w:spacing w:line="560" w:lineRule="exact"/>
        <w:ind w:firstLine="960" w:firstLineChars="300"/>
        <w:rPr>
          <w:rFonts w:ascii="仿宋" w:hAnsi="仿宋" w:eastAsia="仿宋"/>
          <w:sz w:val="32"/>
          <w:szCs w:val="32"/>
        </w:rPr>
      </w:pPr>
      <w:r>
        <w:rPr>
          <w:rFonts w:hint="eastAsia" w:ascii="仿宋" w:hAnsi="仿宋" w:eastAsia="仿宋"/>
          <w:sz w:val="32"/>
          <w:szCs w:val="32"/>
        </w:rPr>
        <w:t>1.社会保障和就业支出(类)1084.3</w:t>
      </w:r>
      <w:r>
        <w:rPr>
          <w:rFonts w:hint="eastAsia" w:ascii="仿宋" w:hAnsi="仿宋" w:eastAsia="仿宋"/>
          <w:color w:val="FF0000"/>
          <w:sz w:val="32"/>
          <w:szCs w:val="32"/>
        </w:rPr>
        <w:t xml:space="preserve"> </w:t>
      </w:r>
      <w:r>
        <w:rPr>
          <w:rFonts w:hint="eastAsia" w:ascii="仿宋" w:hAnsi="仿宋" w:eastAsia="仿宋"/>
          <w:sz w:val="32"/>
          <w:szCs w:val="32"/>
        </w:rPr>
        <w:t>万元，占</w:t>
      </w:r>
      <w:r>
        <w:rPr>
          <w:rFonts w:hint="eastAsia" w:ascii="仿宋" w:hAnsi="仿宋" w:eastAsia="仿宋"/>
          <w:color w:val="FF0000"/>
          <w:sz w:val="32"/>
          <w:szCs w:val="32"/>
        </w:rPr>
        <w:t xml:space="preserve"> </w:t>
      </w:r>
      <w:r>
        <w:rPr>
          <w:rFonts w:hint="eastAsia" w:ascii="仿宋" w:hAnsi="仿宋" w:eastAsia="仿宋"/>
          <w:color w:val="000000" w:themeColor="text1"/>
          <w:sz w:val="32"/>
          <w:szCs w:val="32"/>
        </w:rPr>
        <w:t>7.89</w:t>
      </w:r>
      <w:r>
        <w:rPr>
          <w:rFonts w:hint="eastAsia" w:ascii="仿宋" w:hAnsi="仿宋" w:eastAsia="仿宋"/>
          <w:color w:val="FF0000"/>
          <w:sz w:val="32"/>
          <w:szCs w:val="32"/>
        </w:rPr>
        <w:t xml:space="preserve"> </w:t>
      </w:r>
      <w:r>
        <w:rPr>
          <w:rFonts w:hint="eastAsia" w:ascii="仿宋" w:hAnsi="仿宋" w:eastAsia="仿宋"/>
          <w:sz w:val="32"/>
          <w:szCs w:val="32"/>
        </w:rPr>
        <w:t>%。</w:t>
      </w:r>
    </w:p>
    <w:p>
      <w:pPr>
        <w:spacing w:line="560" w:lineRule="exact"/>
        <w:ind w:firstLine="960" w:firstLineChars="300"/>
        <w:rPr>
          <w:rFonts w:ascii="仿宋" w:hAnsi="仿宋" w:eastAsia="仿宋"/>
          <w:sz w:val="32"/>
          <w:szCs w:val="32"/>
        </w:rPr>
      </w:pPr>
      <w:r>
        <w:rPr>
          <w:rFonts w:hint="eastAsia" w:ascii="仿宋" w:hAnsi="仿宋" w:eastAsia="仿宋"/>
          <w:sz w:val="32"/>
          <w:szCs w:val="32"/>
        </w:rPr>
        <w:t>2.自然资源气象等支出（类）11171.12</w:t>
      </w:r>
      <w:r>
        <w:rPr>
          <w:rFonts w:hint="eastAsia" w:ascii="仿宋" w:hAnsi="仿宋" w:eastAsia="仿宋"/>
          <w:color w:val="FF0000"/>
          <w:sz w:val="32"/>
          <w:szCs w:val="32"/>
        </w:rPr>
        <w:t xml:space="preserve"> </w:t>
      </w:r>
      <w:r>
        <w:rPr>
          <w:rFonts w:hint="eastAsia" w:ascii="仿宋" w:hAnsi="仿宋" w:eastAsia="仿宋"/>
          <w:sz w:val="32"/>
          <w:szCs w:val="32"/>
        </w:rPr>
        <w:t>万元，占81.26</w:t>
      </w:r>
      <w:r>
        <w:rPr>
          <w:rFonts w:hint="eastAsia" w:ascii="仿宋" w:hAnsi="仿宋" w:eastAsia="仿宋"/>
          <w:color w:val="FF0000"/>
          <w:sz w:val="32"/>
          <w:szCs w:val="32"/>
        </w:rPr>
        <w:t xml:space="preserve"> </w:t>
      </w:r>
      <w:r>
        <w:rPr>
          <w:rFonts w:hint="eastAsia" w:ascii="仿宋" w:hAnsi="仿宋" w:eastAsia="仿宋"/>
          <w:sz w:val="32"/>
          <w:szCs w:val="32"/>
        </w:rPr>
        <w:t>%。</w:t>
      </w:r>
    </w:p>
    <w:p>
      <w:pPr>
        <w:spacing w:line="560" w:lineRule="exact"/>
        <w:ind w:firstLine="960" w:firstLineChars="300"/>
        <w:rPr>
          <w:rFonts w:ascii="仿宋" w:hAnsi="仿宋" w:eastAsia="仿宋"/>
          <w:sz w:val="32"/>
          <w:szCs w:val="32"/>
        </w:rPr>
      </w:pPr>
      <w:r>
        <w:rPr>
          <w:rFonts w:hint="eastAsia" w:ascii="仿宋" w:hAnsi="仿宋" w:eastAsia="仿宋"/>
          <w:sz w:val="32"/>
          <w:szCs w:val="32"/>
        </w:rPr>
        <w:t>3、</w:t>
      </w:r>
      <w:r>
        <w:rPr>
          <w:rFonts w:hint="eastAsia" w:ascii="仿宋" w:hAnsi="仿宋" w:eastAsia="仿宋"/>
          <w:color w:val="0D0D0D"/>
          <w:sz w:val="32"/>
          <w:szCs w:val="32"/>
        </w:rPr>
        <w:t>住房保障支出</w:t>
      </w:r>
      <w:r>
        <w:rPr>
          <w:rFonts w:hint="eastAsia" w:ascii="仿宋" w:hAnsi="仿宋" w:eastAsia="仿宋"/>
          <w:sz w:val="32"/>
          <w:szCs w:val="32"/>
        </w:rPr>
        <w:t>（类）</w:t>
      </w:r>
      <w:r>
        <w:rPr>
          <w:rFonts w:hint="eastAsia" w:ascii="仿宋" w:hAnsi="仿宋" w:eastAsia="仿宋"/>
          <w:color w:val="0D0D0D"/>
          <w:sz w:val="32"/>
          <w:szCs w:val="32"/>
        </w:rPr>
        <w:t>652.7万元，</w:t>
      </w:r>
      <w:r>
        <w:rPr>
          <w:rFonts w:hint="eastAsia" w:ascii="仿宋" w:hAnsi="仿宋" w:eastAsia="仿宋"/>
          <w:sz w:val="32"/>
          <w:szCs w:val="32"/>
        </w:rPr>
        <w:t>占4.75%。</w:t>
      </w:r>
    </w:p>
    <w:p>
      <w:pPr>
        <w:spacing w:line="560" w:lineRule="exact"/>
        <w:ind w:firstLine="960" w:firstLineChars="300"/>
        <w:rPr>
          <w:rFonts w:ascii="仿宋" w:hAnsi="仿宋" w:eastAsia="仿宋"/>
          <w:sz w:val="32"/>
          <w:szCs w:val="32"/>
        </w:rPr>
      </w:pPr>
      <w:r>
        <w:rPr>
          <w:rFonts w:hint="eastAsia" w:ascii="仿宋" w:hAnsi="仿宋" w:eastAsia="仿宋"/>
          <w:color w:val="0D0D0D"/>
          <w:sz w:val="32"/>
          <w:szCs w:val="32"/>
        </w:rPr>
        <w:t>4、卫生健康支出</w:t>
      </w:r>
      <w:r>
        <w:rPr>
          <w:rFonts w:hint="eastAsia" w:ascii="仿宋" w:hAnsi="仿宋" w:eastAsia="仿宋"/>
          <w:sz w:val="32"/>
          <w:szCs w:val="32"/>
        </w:rPr>
        <w:t>（类）</w:t>
      </w:r>
      <w:r>
        <w:rPr>
          <w:rFonts w:hint="eastAsia" w:ascii="仿宋" w:hAnsi="仿宋" w:eastAsia="仿宋"/>
          <w:color w:val="0D0D0D"/>
          <w:sz w:val="32"/>
          <w:szCs w:val="32"/>
        </w:rPr>
        <w:t>837.98万元，</w:t>
      </w:r>
      <w:r>
        <w:rPr>
          <w:rFonts w:hint="eastAsia" w:ascii="仿宋" w:hAnsi="仿宋" w:eastAsia="仿宋"/>
          <w:sz w:val="32"/>
          <w:szCs w:val="32"/>
        </w:rPr>
        <w:t>占6.1%。</w:t>
      </w:r>
    </w:p>
    <w:p>
      <w:pPr>
        <w:ind w:firstLine="964" w:firstLineChars="300"/>
        <w:rPr>
          <w:rFonts w:ascii="仿宋" w:hAnsi="仿宋" w:eastAsia="仿宋"/>
          <w:b/>
          <w:sz w:val="32"/>
          <w:szCs w:val="32"/>
        </w:rPr>
      </w:pPr>
      <w:r>
        <w:rPr>
          <w:rFonts w:hint="eastAsia" w:ascii="仿宋" w:hAnsi="仿宋" w:eastAsia="仿宋"/>
          <w:b/>
          <w:sz w:val="32"/>
          <w:szCs w:val="32"/>
        </w:rPr>
        <w:t>（三）一般公共预算当年拨款具体使用情况</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800" w:firstLineChars="250"/>
        <w:rPr>
          <w:rFonts w:ascii="仿宋_GB2312" w:hAnsi="宋体" w:eastAsia="仿宋_GB2312"/>
          <w:color w:val="000000" w:themeColor="text1"/>
          <w:sz w:val="32"/>
          <w:szCs w:val="32"/>
        </w:rPr>
      </w:pPr>
      <w:r>
        <w:rPr>
          <w:rFonts w:hint="eastAsia" w:ascii="仿宋_GB2312" w:hAnsi="宋体" w:eastAsia="仿宋_GB2312"/>
          <w:sz w:val="32"/>
          <w:szCs w:val="32"/>
        </w:rPr>
        <w:t>1.</w:t>
      </w:r>
      <w:r>
        <w:rPr>
          <w:rFonts w:hint="eastAsia"/>
        </w:rPr>
        <w:t xml:space="preserve"> </w:t>
      </w:r>
      <w:r>
        <w:rPr>
          <w:rFonts w:hint="eastAsia" w:ascii="仿宋_GB2312" w:hAnsi="宋体" w:eastAsia="仿宋_GB2312"/>
          <w:sz w:val="32"/>
          <w:szCs w:val="32"/>
        </w:rPr>
        <w:t>社会保障和就业支出(类)</w:t>
      </w:r>
      <w:r>
        <w:rPr>
          <w:rFonts w:hint="eastAsia"/>
        </w:rPr>
        <w:t xml:space="preserve"> </w:t>
      </w:r>
      <w:r>
        <w:rPr>
          <w:rFonts w:hint="eastAsia" w:ascii="仿宋_GB2312" w:hAnsi="宋体" w:eastAsia="仿宋_GB2312"/>
          <w:sz w:val="32"/>
          <w:szCs w:val="32"/>
        </w:rPr>
        <w:t>行政事业单位离退休(款)</w:t>
      </w:r>
      <w:r>
        <w:rPr>
          <w:rFonts w:hint="eastAsia"/>
        </w:rPr>
        <w:t xml:space="preserve"> </w:t>
      </w:r>
      <w:r>
        <w:rPr>
          <w:rFonts w:hint="eastAsia" w:ascii="仿宋_GB2312" w:hAnsi="宋体" w:eastAsia="仿宋_GB2312"/>
          <w:sz w:val="32"/>
          <w:szCs w:val="32"/>
        </w:rPr>
        <w:t>未归口管理的行政单位离退休(项)2020年预算数为242.35万元，比 2019年执行数</w:t>
      </w:r>
      <w:r>
        <w:rPr>
          <w:rFonts w:hint="eastAsia" w:ascii="仿宋_GB2312" w:hAnsi="宋体" w:eastAsia="仿宋_GB2312"/>
          <w:color w:val="000000" w:themeColor="text1"/>
          <w:sz w:val="32"/>
          <w:szCs w:val="32"/>
        </w:rPr>
        <w:t>228.52</w:t>
      </w:r>
      <w:r>
        <w:rPr>
          <w:rFonts w:hint="eastAsia" w:ascii="仿宋_GB2312" w:hAnsi="宋体" w:eastAsia="仿宋_GB2312"/>
          <w:sz w:val="32"/>
          <w:szCs w:val="32"/>
        </w:rPr>
        <w:t>万元 增加13.83万元，增长6.05%。主要原因是:增加退休人</w:t>
      </w:r>
      <w:r>
        <w:rPr>
          <w:rFonts w:hint="eastAsia" w:ascii="仿宋_GB2312" w:hAnsi="宋体" w:eastAsia="仿宋_GB2312"/>
          <w:color w:val="000000" w:themeColor="text1"/>
          <w:sz w:val="32"/>
          <w:szCs w:val="32"/>
        </w:rPr>
        <w:t>员医疗费基数。</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800" w:firstLineChars="250"/>
        <w:rPr>
          <w:rFonts w:ascii="仿宋_GB2312" w:hAnsi="宋体" w:eastAsia="仿宋_GB2312"/>
          <w:sz w:val="32"/>
          <w:szCs w:val="32"/>
        </w:rPr>
      </w:pPr>
      <w:r>
        <w:rPr>
          <w:rFonts w:hint="eastAsia" w:ascii="仿宋_GB2312" w:hAnsi="宋体" w:eastAsia="仿宋_GB2312"/>
          <w:sz w:val="32"/>
          <w:szCs w:val="32"/>
        </w:rPr>
        <w:t>2.</w:t>
      </w:r>
      <w:r>
        <w:rPr>
          <w:rFonts w:hint="eastAsia"/>
        </w:rPr>
        <w:t xml:space="preserve"> </w:t>
      </w:r>
      <w:r>
        <w:rPr>
          <w:rFonts w:hint="eastAsia" w:ascii="仿宋_GB2312" w:hAnsi="宋体" w:eastAsia="仿宋_GB2312"/>
          <w:sz w:val="32"/>
          <w:szCs w:val="32"/>
        </w:rPr>
        <w:t>社会保障和就业支出(类) 行政事业单位离退休(款)</w:t>
      </w:r>
      <w:r>
        <w:rPr>
          <w:rFonts w:hint="eastAsia"/>
        </w:rPr>
        <w:t xml:space="preserve"> </w:t>
      </w:r>
      <w:r>
        <w:rPr>
          <w:rFonts w:hint="eastAsia" w:ascii="仿宋_GB2312" w:hAnsi="宋体" w:eastAsia="仿宋_GB2312"/>
          <w:sz w:val="32"/>
          <w:szCs w:val="32"/>
        </w:rPr>
        <w:t>机关事业单位基本养老保险缴费支出(项)2020年预算数为841.95万元，比2019年执行数</w:t>
      </w:r>
      <w:r>
        <w:rPr>
          <w:rFonts w:hint="eastAsia" w:ascii="仿宋_GB2312" w:hAnsi="宋体" w:eastAsia="仿宋_GB2312"/>
          <w:color w:val="000000" w:themeColor="text1"/>
          <w:sz w:val="32"/>
          <w:szCs w:val="32"/>
        </w:rPr>
        <w:t>934.80</w:t>
      </w:r>
      <w:r>
        <w:rPr>
          <w:rFonts w:hint="eastAsia" w:ascii="仿宋_GB2312" w:hAnsi="宋体" w:eastAsia="仿宋_GB2312"/>
          <w:sz w:val="32"/>
          <w:szCs w:val="32"/>
        </w:rPr>
        <w:t>万元，减少92.85万元，减少9.93</w:t>
      </w:r>
      <w:r>
        <w:rPr>
          <w:rFonts w:hint="eastAsia" w:ascii="仿宋_GB2312" w:hAnsi="宋体" w:eastAsia="仿宋_GB2312"/>
          <w:color w:val="FF0000"/>
          <w:sz w:val="32"/>
          <w:szCs w:val="32"/>
        </w:rPr>
        <w:t xml:space="preserve"> </w:t>
      </w:r>
      <w:r>
        <w:rPr>
          <w:rFonts w:hint="eastAsia" w:ascii="仿宋_GB2312" w:hAnsi="宋体" w:eastAsia="仿宋_GB2312"/>
          <w:sz w:val="32"/>
          <w:szCs w:val="32"/>
        </w:rPr>
        <w:t>%，主要原因是</w:t>
      </w:r>
      <w:r>
        <w:rPr>
          <w:rFonts w:hint="eastAsia" w:ascii="仿宋" w:hAnsi="仿宋" w:eastAsia="仿宋"/>
          <w:sz w:val="32"/>
          <w:szCs w:val="32"/>
        </w:rPr>
        <w:t>缴费比例下调</w:t>
      </w:r>
      <w:r>
        <w:rPr>
          <w:rFonts w:hint="eastAsia" w:ascii="仿宋_GB2312" w:hAnsi="宋体" w:eastAsia="仿宋_GB2312"/>
          <w:sz w:val="32"/>
          <w:szCs w:val="32"/>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0" w:firstLineChars="200"/>
        <w:rPr>
          <w:rFonts w:ascii="仿宋" w:hAnsi="仿宋" w:eastAsia="仿宋"/>
          <w:color w:val="FF0000"/>
          <w:sz w:val="32"/>
          <w:szCs w:val="32"/>
        </w:rPr>
      </w:pPr>
      <w:r>
        <w:rPr>
          <w:rFonts w:hint="eastAsia" w:ascii="仿宋_GB2312" w:hAnsi="宋体" w:eastAsia="仿宋_GB2312"/>
          <w:sz w:val="32"/>
          <w:szCs w:val="32"/>
        </w:rPr>
        <w:t>3.</w:t>
      </w:r>
      <w:r>
        <w:rPr>
          <w:rFonts w:hint="eastAsia" w:ascii="仿宋" w:hAnsi="仿宋" w:eastAsia="仿宋"/>
          <w:sz w:val="32"/>
          <w:szCs w:val="32"/>
        </w:rPr>
        <w:t xml:space="preserve"> 自然资源海洋气象等支出(类) 自然资源事务 (款) 行政运行(项)2020年预算数为7925.8</w:t>
      </w:r>
      <w:r>
        <w:rPr>
          <w:rFonts w:hint="eastAsia" w:ascii="仿宋" w:hAnsi="仿宋" w:eastAsia="仿宋"/>
          <w:color w:val="FF0000"/>
          <w:sz w:val="32"/>
          <w:szCs w:val="32"/>
        </w:rPr>
        <w:t xml:space="preserve"> </w:t>
      </w:r>
      <w:r>
        <w:rPr>
          <w:rFonts w:hint="eastAsia" w:ascii="仿宋" w:hAnsi="仿宋" w:eastAsia="仿宋"/>
          <w:sz w:val="32"/>
          <w:szCs w:val="32"/>
        </w:rPr>
        <w:t>万元，比 2019执行数9139.46</w:t>
      </w:r>
      <w:r>
        <w:rPr>
          <w:rFonts w:hint="eastAsia" w:ascii="仿宋" w:hAnsi="仿宋" w:eastAsia="仿宋"/>
          <w:color w:val="FF0000"/>
          <w:sz w:val="32"/>
          <w:szCs w:val="32"/>
        </w:rPr>
        <w:t xml:space="preserve"> </w:t>
      </w:r>
      <w:r>
        <w:rPr>
          <w:rFonts w:hint="eastAsia" w:ascii="仿宋" w:hAnsi="仿宋" w:eastAsia="仿宋"/>
          <w:sz w:val="32"/>
          <w:szCs w:val="32"/>
        </w:rPr>
        <w:t>万元，减少 1213.66</w:t>
      </w:r>
      <w:r>
        <w:rPr>
          <w:rFonts w:hint="eastAsia" w:ascii="仿宋" w:hAnsi="仿宋" w:eastAsia="仿宋"/>
          <w:color w:val="FF0000"/>
          <w:sz w:val="32"/>
          <w:szCs w:val="32"/>
        </w:rPr>
        <w:t xml:space="preserve">  </w:t>
      </w:r>
      <w:r>
        <w:rPr>
          <w:rFonts w:hint="eastAsia" w:ascii="仿宋" w:hAnsi="仿宋" w:eastAsia="仿宋"/>
          <w:sz w:val="32"/>
          <w:szCs w:val="32"/>
        </w:rPr>
        <w:t>万元，</w:t>
      </w:r>
      <w:r>
        <w:rPr>
          <w:rFonts w:hint="eastAsia" w:ascii="仿宋_GB2312" w:hAnsi="宋体" w:eastAsia="仿宋_GB2312"/>
          <w:sz w:val="32"/>
          <w:szCs w:val="32"/>
        </w:rPr>
        <w:t>减少13.28%，</w:t>
      </w:r>
      <w:r>
        <w:rPr>
          <w:rFonts w:hint="eastAsia" w:ascii="仿宋" w:hAnsi="仿宋" w:eastAsia="仿宋"/>
          <w:sz w:val="32"/>
          <w:szCs w:val="32"/>
        </w:rPr>
        <w:t>主要原因是：2019年执行数</w:t>
      </w:r>
      <w:r>
        <w:rPr>
          <w:rFonts w:hint="eastAsia" w:ascii="仿宋" w:hAnsi="仿宋" w:eastAsia="仿宋"/>
          <w:color w:val="0D0D0D"/>
          <w:sz w:val="32"/>
          <w:szCs w:val="32"/>
        </w:rPr>
        <w:t>中包含财政追加</w:t>
      </w:r>
      <w:r>
        <w:rPr>
          <w:rFonts w:hint="eastAsia" w:ascii="仿宋" w:hAnsi="仿宋" w:eastAsia="仿宋"/>
          <w:sz w:val="32"/>
          <w:szCs w:val="32"/>
        </w:rPr>
        <w:t>在职人员工资调资预算。</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4.自然海洋气象等支出(类) 自然资源事务 (款) 自然资源行业业务管理(项)-总队机关房屋租赁，2020年预算数为136万元，与 2019年执行数保持一致，未发生增减。</w:t>
      </w:r>
    </w:p>
    <w:p>
      <w:pPr>
        <w:spacing w:line="560" w:lineRule="exact"/>
        <w:ind w:firstLine="640" w:firstLineChars="200"/>
        <w:rPr>
          <w:rFonts w:ascii="仿宋" w:hAnsi="仿宋" w:eastAsia="仿宋"/>
          <w:color w:val="0D0D0D"/>
          <w:sz w:val="32"/>
          <w:szCs w:val="32"/>
        </w:rPr>
      </w:pPr>
      <w:r>
        <w:rPr>
          <w:rFonts w:hint="eastAsia" w:ascii="仿宋_GB2312" w:hAnsi="宋体" w:eastAsia="仿宋_GB2312"/>
          <w:sz w:val="32"/>
          <w:szCs w:val="32"/>
        </w:rPr>
        <w:t xml:space="preserve">5.自然海洋气象等支出(类) 自然资源事务 (款) </w:t>
      </w:r>
      <w:r>
        <w:rPr>
          <w:rFonts w:hint="eastAsia" w:ascii="仿宋" w:hAnsi="仿宋" w:eastAsia="仿宋"/>
          <w:sz w:val="32"/>
          <w:szCs w:val="32"/>
        </w:rPr>
        <w:t>其他</w:t>
      </w:r>
      <w:r>
        <w:rPr>
          <w:rFonts w:hint="eastAsia" w:ascii="仿宋_GB2312" w:hAnsi="宋体" w:eastAsia="仿宋_GB2312"/>
          <w:sz w:val="32"/>
          <w:szCs w:val="32"/>
        </w:rPr>
        <w:t>自然资源事务支出(项)专项支出项目，2020年预算数为4600万元，与 2019年执行数6141.74万元，</w:t>
      </w:r>
      <w:r>
        <w:rPr>
          <w:rFonts w:hint="eastAsia" w:ascii="仿宋" w:hAnsi="仿宋" w:eastAsia="仿宋"/>
          <w:color w:val="0D0D0D"/>
          <w:sz w:val="32"/>
          <w:szCs w:val="32"/>
        </w:rPr>
        <w:t>比上年减少</w:t>
      </w:r>
      <w:r>
        <w:rPr>
          <w:rFonts w:hint="eastAsia" w:ascii="仿宋" w:hAnsi="仿宋" w:eastAsia="仿宋"/>
          <w:sz w:val="32"/>
          <w:szCs w:val="32"/>
        </w:rPr>
        <w:t>1541.74</w:t>
      </w:r>
      <w:r>
        <w:rPr>
          <w:rFonts w:hint="eastAsia" w:ascii="仿宋" w:hAnsi="仿宋" w:eastAsia="仿宋"/>
          <w:color w:val="0D0D0D"/>
          <w:sz w:val="32"/>
          <w:szCs w:val="32"/>
        </w:rPr>
        <w:t>万元，</w:t>
      </w:r>
      <w:r>
        <w:rPr>
          <w:rFonts w:hint="eastAsia" w:ascii="仿宋_GB2312" w:hAnsi="宋体" w:eastAsia="仿宋_GB2312"/>
          <w:sz w:val="32"/>
          <w:szCs w:val="32"/>
        </w:rPr>
        <w:t>减少25.1%，</w:t>
      </w:r>
      <w:r>
        <w:rPr>
          <w:rFonts w:hint="eastAsia" w:ascii="仿宋" w:hAnsi="仿宋" w:eastAsia="仿宋"/>
          <w:color w:val="0D0D0D"/>
          <w:sz w:val="32"/>
          <w:szCs w:val="32"/>
        </w:rPr>
        <w:t>主要原因财政压减经费。</w:t>
      </w:r>
    </w:p>
    <w:p>
      <w:pPr>
        <w:spacing w:line="560" w:lineRule="exact"/>
        <w:ind w:firstLine="480" w:firstLineChars="150"/>
        <w:rPr>
          <w:rFonts w:ascii="黑体" w:hAnsi="黑体" w:eastAsia="黑体"/>
          <w:sz w:val="32"/>
          <w:szCs w:val="32"/>
        </w:rPr>
      </w:pPr>
      <w:r>
        <w:rPr>
          <w:rFonts w:hint="eastAsia" w:ascii="黑体" w:hAnsi="黑体" w:eastAsia="黑体"/>
          <w:sz w:val="32"/>
          <w:szCs w:val="32"/>
        </w:rPr>
        <w:t>六、关于自治区国土资源执法监察总队（汇总）部门2020年一般公共预算基本支出情况说明</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320" w:firstLineChars="100"/>
        <w:rPr>
          <w:rFonts w:ascii="仿宋" w:hAnsi="仿宋" w:eastAsia="仿宋"/>
          <w:sz w:val="32"/>
          <w:szCs w:val="32"/>
        </w:rPr>
      </w:pPr>
      <w:r>
        <w:rPr>
          <w:rFonts w:hint="eastAsia" w:ascii="仿宋" w:hAnsi="仿宋" w:eastAsia="仿宋"/>
          <w:sz w:val="32"/>
          <w:szCs w:val="32"/>
        </w:rPr>
        <w:t>自治区国土资源执法监察总队部门2020年一般公共预算基本支出为9010.1 万元，其中：</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rPr>
          <w:rFonts w:ascii="仿宋" w:hAnsi="仿宋" w:eastAsia="仿宋"/>
          <w:sz w:val="32"/>
          <w:szCs w:val="32"/>
        </w:rPr>
      </w:pPr>
      <w:r>
        <w:rPr>
          <w:rFonts w:hint="eastAsia" w:ascii="仿宋" w:hAnsi="仿宋" w:eastAsia="仿宋"/>
          <w:sz w:val="32"/>
          <w:szCs w:val="32"/>
        </w:rPr>
        <w:t xml:space="preserve">   （1）人员经费</w:t>
      </w:r>
      <w:r>
        <w:rPr>
          <w:rFonts w:hint="eastAsia" w:ascii="仿宋" w:hAnsi="仿宋" w:eastAsia="仿宋"/>
          <w:color w:val="000000" w:themeColor="text1"/>
          <w:sz w:val="32"/>
          <w:szCs w:val="32"/>
        </w:rPr>
        <w:t>8205.66</w:t>
      </w:r>
      <w:r>
        <w:rPr>
          <w:rFonts w:hint="eastAsia" w:ascii="仿宋" w:hAnsi="仿宋" w:eastAsia="仿宋"/>
          <w:sz w:val="32"/>
          <w:szCs w:val="32"/>
        </w:rPr>
        <w:t>万元，包括基本工资、国家规定津补贴、地方津补贴、地方保留津补贴、奖金、绩效工资、职工基本医疗保险缴费、公务员医疗补助、职业年金缴费、生育保险、失业保险、机关事业单位基本养老保险缴费、住房公积金、其他工资福利支出、基本离休费、退休人员生活补助、离退休人员医疗费补助、其他对家庭和个人的生活补助等。</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480" w:firstLineChars="150"/>
        <w:rPr>
          <w:rFonts w:ascii="仿宋" w:hAnsi="仿宋" w:eastAsia="仿宋"/>
          <w:sz w:val="32"/>
          <w:szCs w:val="32"/>
        </w:rPr>
      </w:pPr>
      <w:r>
        <w:rPr>
          <w:rFonts w:hint="eastAsia" w:ascii="仿宋" w:hAnsi="仿宋" w:eastAsia="仿宋"/>
          <w:sz w:val="32"/>
          <w:szCs w:val="32"/>
        </w:rPr>
        <w:t>（2）公用经费</w:t>
      </w:r>
      <w:r>
        <w:rPr>
          <w:rFonts w:hint="eastAsia" w:ascii="仿宋" w:hAnsi="仿宋" w:eastAsia="仿宋"/>
          <w:color w:val="000000" w:themeColor="text1"/>
          <w:sz w:val="32"/>
          <w:szCs w:val="32"/>
        </w:rPr>
        <w:t>804.44</w:t>
      </w:r>
      <w:r>
        <w:rPr>
          <w:rFonts w:hint="eastAsia" w:ascii="仿宋" w:hAnsi="仿宋" w:eastAsia="仿宋"/>
          <w:sz w:val="32"/>
          <w:szCs w:val="32"/>
        </w:rPr>
        <w:t>万元，包括办公费、印刷费、水费、电费、邮电费、取暖费、公务用车运行维护费、差旅费、会议费、物业管理费、培训费、公务接待费、工会经费、福利费、其他交通费用、其他商品和服务支出、其他资本性支出等。</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七、关于自治区国土资源执法监察总队（汇总）部门2020年项目支出情况说明</w:t>
      </w:r>
    </w:p>
    <w:p>
      <w:pPr>
        <w:spacing w:line="600" w:lineRule="exact"/>
        <w:ind w:firstLine="640" w:firstLineChars="200"/>
        <w:rPr>
          <w:rFonts w:ascii="仿宋" w:hAnsi="仿宋" w:eastAsia="仿宋"/>
          <w:color w:val="000000"/>
          <w:sz w:val="32"/>
          <w:szCs w:val="32"/>
        </w:rPr>
      </w:pPr>
      <w:r>
        <w:rPr>
          <w:rFonts w:hint="eastAsia" w:ascii="仿宋" w:hAnsi="仿宋" w:eastAsia="仿宋"/>
          <w:sz w:val="32"/>
          <w:szCs w:val="32"/>
        </w:rPr>
        <w:t>项目支出、专项业务费:</w:t>
      </w:r>
      <w:r>
        <w:rPr>
          <w:rFonts w:hint="eastAsia" w:ascii="仿宋" w:hAnsi="仿宋" w:eastAsia="仿宋"/>
          <w:color w:val="000000"/>
          <w:sz w:val="32"/>
          <w:szCs w:val="32"/>
        </w:rPr>
        <w:t xml:space="preserve"> 1、全区国土资源执法监察办案专项支出项目4600万元；</w:t>
      </w:r>
      <w:r>
        <w:rPr>
          <w:rFonts w:hint="eastAsia" w:ascii="仿宋" w:hAnsi="仿宋" w:eastAsia="仿宋" w:cs="宋体"/>
          <w:kern w:val="0"/>
          <w:sz w:val="32"/>
          <w:szCs w:val="32"/>
        </w:rPr>
        <w:t>2、</w:t>
      </w:r>
      <w:r>
        <w:rPr>
          <w:rFonts w:hint="eastAsia" w:ascii="仿宋" w:hAnsi="仿宋" w:eastAsia="仿宋"/>
          <w:color w:val="000000"/>
          <w:sz w:val="32"/>
          <w:szCs w:val="32"/>
        </w:rPr>
        <w:t>自治区国土资源执法监察总队机关房屋租136 万元；共计：4736万元。</w:t>
      </w:r>
    </w:p>
    <w:p>
      <w:pPr>
        <w:spacing w:line="60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其中：</w:t>
      </w:r>
    </w:p>
    <w:p>
      <w:pPr>
        <w:spacing w:line="60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1、全区国土资源执法监察系统执法办案经费项目</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项目设立的政策依据：根据自治区党委《关于同意成立中共新疆维吾尔自治区国土资源执法监察总队委员会的批复》（新党委[2005]11号）、自治区人民政府《关于印发新疆维吾尔自治区国土资源管理体制改革实施意见的通知》（新政办发[2004]162号）和自治区机构编制委员会《关于自治区国土资源执法监察机构有关问题的通知》（新机编字【2004】99号）文件，自治区国土资源执法监察系统依法组织和实施自治区重大土地、矿产资源违法案件的调查、取证、现场勘验工作，并进行查处，以及国务院《关于印发全面推进依法行政实施纲要的通知》（国发[2004]10号）中经费统一由财政纳入预算予以保障，并实行国库集中支付等规定。根据国土资源部、自治区国土资源厅工作安排部署，2020年在全疆范围内组织和实施对全区预算土地、矿产资源法律、法规、规章情况的执法检查专项行动，建立国土资源动态巡查工作制度，划分责任区，明确责任，全面开展国土资源违法案件的日常巡查工作，及时制止和进行土地、矿产资源违法案件的调查、取证、现场勘验工作，并进行查处，积极开展土地矿产信访案件的排查，化解工作，加大对重大土地、矿产违法案件的实地督办、督查，排除各种阻力和干扰，取得对大案要案查处的新突破。</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预算安排规模：4600万元</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项目承担单位：自治区国土资源执法监察总队、支队、大队</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资金分配情况：其他支出4600万元</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项目预算时间：2020年1月1日-2020年12月31日。</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资金来源：财政拨款4600万元</w:t>
      </w:r>
    </w:p>
    <w:p>
      <w:pPr>
        <w:spacing w:line="60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2、自治区国土资源执法监察总队机关房屋租赁</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项目设立的政策依据：自治区国土资源执法监察总队机关房屋租赁合同。总队机关自成立以来，按照自治区财政厅、自治区国土资源厅《关于报送自治区各级国土资源执法监察机构垂直自治区管理人员经费及资产情况统计汇总表的通知》（新财建[2005]163号）文件实际情况和总队情况看，没有自己办公场所，一直租用办公室。为了确保房屋租赁费用的经费来源，保障总队机关有相对稳定的办公场所。为国土资源执法监察工作的开展提供基本保障，更好地为执法监察工作服务。</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预算安排内容及规模：136万元。</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项目承担单位：自治区国土资源执法监察总队机关</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资金分配情况：商品服务支出136万元</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项目预算时间：2020年1月1日-2020年12月31日</w:t>
      </w:r>
    </w:p>
    <w:p>
      <w:pPr>
        <w:ind w:firstLine="640" w:firstLineChars="200"/>
        <w:rPr>
          <w:rFonts w:ascii="仿宋" w:hAnsi="仿宋" w:eastAsia="仿宋"/>
          <w:sz w:val="32"/>
          <w:szCs w:val="32"/>
        </w:rPr>
      </w:pPr>
      <w:r>
        <w:rPr>
          <w:rFonts w:hint="eastAsia" w:ascii="仿宋" w:hAnsi="仿宋" w:eastAsia="仿宋"/>
          <w:sz w:val="32"/>
          <w:szCs w:val="32"/>
        </w:rPr>
        <w:t>（二）对个人补贴的项目支出说明</w:t>
      </w:r>
    </w:p>
    <w:p>
      <w:pPr>
        <w:ind w:firstLine="640" w:firstLineChars="200"/>
        <w:rPr>
          <w:rFonts w:ascii="仿宋" w:hAnsi="仿宋" w:eastAsia="仿宋"/>
          <w:sz w:val="32"/>
          <w:szCs w:val="32"/>
        </w:rPr>
      </w:pPr>
      <w:r>
        <w:rPr>
          <w:rFonts w:hint="eastAsia" w:ascii="仿宋" w:hAnsi="仿宋" w:eastAsia="仿宋"/>
          <w:sz w:val="32"/>
          <w:szCs w:val="32"/>
        </w:rPr>
        <w:t>无个人补贴项目。</w:t>
      </w:r>
    </w:p>
    <w:p>
      <w:pPr>
        <w:spacing w:line="560" w:lineRule="exact"/>
        <w:ind w:firstLine="480" w:firstLineChars="150"/>
        <w:rPr>
          <w:rFonts w:ascii="黑体" w:hAnsi="宋体" w:eastAsia="黑体" w:cs="宋体"/>
          <w:kern w:val="0"/>
          <w:sz w:val="32"/>
          <w:szCs w:val="32"/>
        </w:rPr>
      </w:pPr>
      <w:r>
        <w:rPr>
          <w:rFonts w:hint="eastAsia" w:ascii="黑体" w:hAnsi="宋体" w:eastAsia="黑体" w:cs="宋体"/>
          <w:kern w:val="0"/>
          <w:sz w:val="32"/>
          <w:szCs w:val="32"/>
        </w:rPr>
        <w:t>八、关于</w:t>
      </w:r>
      <w:r>
        <w:rPr>
          <w:rFonts w:hint="eastAsia" w:ascii="仿宋" w:hAnsi="仿宋" w:eastAsia="仿宋"/>
          <w:b/>
          <w:color w:val="000000"/>
          <w:sz w:val="32"/>
          <w:szCs w:val="32"/>
        </w:rPr>
        <w:t>自治区国土资源执法监察总队</w:t>
      </w:r>
      <w:r>
        <w:rPr>
          <w:rFonts w:hint="eastAsia" w:ascii="黑体" w:hAnsi="黑体" w:eastAsia="黑体"/>
          <w:sz w:val="32"/>
          <w:szCs w:val="32"/>
        </w:rPr>
        <w:t>（汇总）</w:t>
      </w:r>
      <w:r>
        <w:rPr>
          <w:rFonts w:hint="eastAsia" w:ascii="仿宋" w:hAnsi="仿宋" w:eastAsia="仿宋"/>
          <w:b/>
          <w:color w:val="000000"/>
          <w:sz w:val="32"/>
          <w:szCs w:val="32"/>
        </w:rPr>
        <w:t>2020</w:t>
      </w:r>
      <w:r>
        <w:rPr>
          <w:rFonts w:hint="eastAsia" w:ascii="黑体" w:hAnsi="宋体" w:eastAsia="黑体" w:cs="宋体"/>
          <w:kern w:val="0"/>
          <w:sz w:val="32"/>
          <w:szCs w:val="32"/>
        </w:rPr>
        <w:t>年一般公共预算“三公”经费预算情况说明</w:t>
      </w:r>
    </w:p>
    <w:p>
      <w:pPr>
        <w:spacing w:line="560" w:lineRule="exact"/>
        <w:ind w:firstLine="643" w:firstLineChars="200"/>
        <w:rPr>
          <w:rFonts w:ascii="仿宋_GB2312" w:hAnsi="宋体" w:eastAsia="仿宋_GB2312" w:cs="宋体"/>
          <w:color w:val="000000" w:themeColor="text1"/>
          <w:kern w:val="0"/>
          <w:sz w:val="32"/>
          <w:szCs w:val="32"/>
        </w:rPr>
      </w:pPr>
      <w:r>
        <w:rPr>
          <w:rFonts w:hint="eastAsia" w:ascii="仿宋" w:hAnsi="仿宋" w:eastAsia="仿宋"/>
          <w:b/>
          <w:color w:val="000000"/>
          <w:sz w:val="32"/>
          <w:szCs w:val="32"/>
        </w:rPr>
        <w:t>自治区国土资源执法监察总队2020</w:t>
      </w:r>
      <w:r>
        <w:rPr>
          <w:rFonts w:hint="eastAsia" w:ascii="黑体" w:hAnsi="宋体" w:eastAsia="黑体" w:cs="宋体"/>
          <w:kern w:val="0"/>
          <w:sz w:val="32"/>
          <w:szCs w:val="32"/>
        </w:rPr>
        <w:t>年</w:t>
      </w:r>
      <w:r>
        <w:rPr>
          <w:rFonts w:hint="eastAsia" w:ascii="仿宋_GB2312" w:hAnsi="宋体" w:eastAsia="仿宋_GB2312" w:cs="宋体"/>
          <w:kern w:val="0"/>
          <w:sz w:val="32"/>
          <w:szCs w:val="32"/>
        </w:rPr>
        <w:t>“三公”经费财政拨款预算数为</w:t>
      </w:r>
      <w:r>
        <w:rPr>
          <w:rFonts w:hint="eastAsia" w:ascii="仿宋_GB2312" w:hAnsi="宋体" w:eastAsia="仿宋_GB2312" w:cs="宋体"/>
          <w:color w:val="000000" w:themeColor="text1"/>
          <w:kern w:val="0"/>
          <w:sz w:val="32"/>
          <w:szCs w:val="32"/>
        </w:rPr>
        <w:t>25.75万元，其中：因公出国（境）费 0万元，公务用车购置0 万元，公务用车运行费25.44万元，公务接待费 0.31万元。</w:t>
      </w:r>
    </w:p>
    <w:p>
      <w:pPr>
        <w:spacing w:line="560" w:lineRule="exact"/>
        <w:ind w:firstLine="640" w:firstLineChars="200"/>
        <w:rPr>
          <w:rFonts w:ascii="仿宋_GB2312" w:hAnsi="宋体" w:eastAsia="仿宋_GB2312" w:cs="宋体"/>
          <w:color w:val="000000" w:themeColor="text1"/>
          <w:kern w:val="0"/>
          <w:sz w:val="32"/>
          <w:szCs w:val="32"/>
        </w:rPr>
      </w:pPr>
      <w:r>
        <w:rPr>
          <w:rFonts w:hint="eastAsia" w:ascii="仿宋_GB2312" w:hAnsi="宋体" w:eastAsia="仿宋_GB2312" w:cs="宋体"/>
          <w:color w:val="000000" w:themeColor="text1"/>
          <w:kern w:val="0"/>
          <w:sz w:val="32"/>
          <w:szCs w:val="32"/>
        </w:rPr>
        <w:t>2020年“三公”经费财政拨款预算比上年减少266.94万元，其中：因公出国（境）费增加（减少）0 万元；公务用车购置费为0。公务用车购置费增加（减少）0 万元；公务用车运行费减少249.55万</w:t>
      </w:r>
      <w:r>
        <w:rPr>
          <w:rFonts w:hint="eastAsia" w:ascii="仿宋_GB2312" w:hAnsi="宋体" w:eastAsia="仿宋_GB2312" w:cs="宋体"/>
          <w:kern w:val="0"/>
          <w:sz w:val="32"/>
          <w:szCs w:val="32"/>
        </w:rPr>
        <w:t>元，公务接待费减</w:t>
      </w:r>
      <w:r>
        <w:rPr>
          <w:rFonts w:hint="eastAsia" w:ascii="仿宋_GB2312" w:hAnsi="宋体" w:eastAsia="仿宋_GB2312" w:cs="宋体"/>
          <w:color w:val="000000" w:themeColor="text1"/>
          <w:kern w:val="0"/>
          <w:sz w:val="32"/>
          <w:szCs w:val="32"/>
        </w:rPr>
        <w:t>少17.39</w:t>
      </w:r>
      <w:r>
        <w:rPr>
          <w:rFonts w:hint="eastAsia" w:ascii="仿宋_GB2312" w:hAnsi="宋体" w:eastAsia="仿宋_GB2312" w:cs="宋体"/>
          <w:kern w:val="0"/>
          <w:sz w:val="32"/>
          <w:szCs w:val="32"/>
        </w:rPr>
        <w:t>万元，主要原因是厉行节约，压减三公经费。</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九、关于</w:t>
      </w:r>
      <w:r>
        <w:rPr>
          <w:rFonts w:hint="eastAsia" w:ascii="仿宋" w:hAnsi="仿宋" w:eastAsia="仿宋"/>
          <w:b/>
          <w:color w:val="000000"/>
          <w:sz w:val="32"/>
          <w:szCs w:val="32"/>
        </w:rPr>
        <w:t>自治区国土资源执法监察总队</w:t>
      </w:r>
      <w:r>
        <w:rPr>
          <w:rFonts w:hint="eastAsia" w:ascii="黑体" w:hAnsi="黑体" w:eastAsia="黑体"/>
          <w:sz w:val="32"/>
          <w:szCs w:val="32"/>
        </w:rPr>
        <w:t>（汇总）</w:t>
      </w:r>
      <w:r>
        <w:rPr>
          <w:rFonts w:hint="eastAsia" w:ascii="仿宋" w:hAnsi="仿宋" w:eastAsia="仿宋"/>
          <w:b/>
          <w:color w:val="000000"/>
          <w:sz w:val="32"/>
          <w:szCs w:val="32"/>
        </w:rPr>
        <w:t>2020</w:t>
      </w:r>
      <w:r>
        <w:rPr>
          <w:rFonts w:hint="eastAsia" w:ascii="黑体" w:hAnsi="宋体" w:eastAsia="黑体" w:cs="宋体"/>
          <w:kern w:val="0"/>
          <w:sz w:val="32"/>
          <w:szCs w:val="32"/>
        </w:rPr>
        <w:t>年政府性基金预算拨款情况说明</w:t>
      </w:r>
    </w:p>
    <w:p>
      <w:pPr>
        <w:spacing w:line="600" w:lineRule="exact"/>
        <w:ind w:firstLine="480" w:firstLineChars="150"/>
        <w:rPr>
          <w:rFonts w:ascii="仿宋" w:hAnsi="仿宋" w:eastAsia="仿宋"/>
          <w:color w:val="000000"/>
          <w:sz w:val="32"/>
          <w:szCs w:val="32"/>
        </w:rPr>
      </w:pPr>
      <w:r>
        <w:rPr>
          <w:rFonts w:hint="eastAsia" w:ascii="仿宋" w:hAnsi="仿宋" w:eastAsia="仿宋"/>
          <w:color w:val="000000"/>
          <w:sz w:val="32"/>
          <w:szCs w:val="32"/>
        </w:rPr>
        <w:t>自治区国土资源执法监察总队部门2020年没有使用政府基金预算拨款安排的支出，政府性基金预算支出情况表为空表。</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2020年，</w:t>
      </w:r>
      <w:r>
        <w:rPr>
          <w:rFonts w:hint="eastAsia" w:ascii="仿宋" w:hAnsi="仿宋" w:eastAsia="仿宋"/>
          <w:color w:val="000000"/>
          <w:sz w:val="32"/>
          <w:szCs w:val="32"/>
        </w:rPr>
        <w:t>自治区国土资源执法监察总队（汇总）部门</w:t>
      </w:r>
      <w:r>
        <w:rPr>
          <w:rFonts w:hint="eastAsia" w:ascii="仿宋_GB2312" w:hAnsi="宋体" w:eastAsia="仿宋_GB2312" w:cs="宋体"/>
          <w:kern w:val="0"/>
          <w:sz w:val="32"/>
          <w:szCs w:val="32"/>
        </w:rPr>
        <w:t>运行经费财政拨款预算</w:t>
      </w:r>
      <w:r>
        <w:rPr>
          <w:rFonts w:hint="eastAsia" w:ascii="仿宋_GB2312" w:hAnsi="宋体" w:eastAsia="仿宋_GB2312" w:cs="宋体"/>
          <w:color w:val="000000" w:themeColor="text1"/>
          <w:kern w:val="0"/>
          <w:sz w:val="32"/>
          <w:szCs w:val="32"/>
        </w:rPr>
        <w:t>804.44</w:t>
      </w:r>
      <w:r>
        <w:rPr>
          <w:rFonts w:hint="eastAsia" w:ascii="仿宋_GB2312" w:hAnsi="宋体" w:eastAsia="仿宋_GB2312" w:cs="宋体"/>
          <w:kern w:val="0"/>
          <w:sz w:val="32"/>
          <w:szCs w:val="32"/>
        </w:rPr>
        <w:t>万元，比上年预算减少</w:t>
      </w:r>
      <w:r>
        <w:rPr>
          <w:rFonts w:hint="eastAsia" w:ascii="仿宋_GB2312" w:hAnsi="宋体" w:eastAsia="仿宋_GB2312" w:cs="宋体"/>
          <w:color w:val="000000" w:themeColor="text1"/>
          <w:kern w:val="0"/>
          <w:sz w:val="32"/>
          <w:szCs w:val="32"/>
        </w:rPr>
        <w:t>54.49</w:t>
      </w:r>
      <w:r>
        <w:rPr>
          <w:rFonts w:hint="eastAsia" w:ascii="仿宋_GB2312" w:hAnsi="宋体" w:eastAsia="仿宋_GB2312" w:cs="宋体"/>
          <w:kern w:val="0"/>
          <w:sz w:val="32"/>
          <w:szCs w:val="32"/>
        </w:rPr>
        <w:t>万元，下降6.34%。主要原因是厉行节约，压减公用经费 。                。</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spacing w:line="560" w:lineRule="exact"/>
        <w:ind w:firstLine="640" w:firstLineChars="200"/>
        <w:rPr>
          <w:rFonts w:ascii="仿宋_GB2312" w:hAnsi="宋体" w:eastAsia="仿宋_GB2312" w:cs="宋体"/>
          <w:color w:val="000000" w:themeColor="text1"/>
          <w:kern w:val="0"/>
          <w:sz w:val="32"/>
          <w:szCs w:val="32"/>
        </w:rPr>
      </w:pPr>
      <w:r>
        <w:rPr>
          <w:rFonts w:hint="eastAsia" w:ascii="仿宋_GB2312" w:hAnsi="宋体" w:eastAsia="仿宋_GB2312" w:cs="宋体"/>
          <w:kern w:val="0"/>
          <w:sz w:val="32"/>
          <w:szCs w:val="32"/>
        </w:rPr>
        <w:t>2020年，</w:t>
      </w:r>
      <w:r>
        <w:rPr>
          <w:rFonts w:hint="eastAsia" w:ascii="仿宋" w:hAnsi="仿宋" w:eastAsia="仿宋"/>
          <w:color w:val="000000"/>
          <w:sz w:val="32"/>
          <w:szCs w:val="32"/>
        </w:rPr>
        <w:t>自治区国土资源执法监察总队（汇总）部门政府</w:t>
      </w:r>
      <w:r>
        <w:rPr>
          <w:rFonts w:hint="eastAsia" w:ascii="仿宋_GB2312" w:hAnsi="宋体" w:eastAsia="仿宋_GB2312" w:cs="宋体"/>
          <w:kern w:val="0"/>
          <w:sz w:val="32"/>
          <w:szCs w:val="32"/>
        </w:rPr>
        <w:t>采购</w:t>
      </w:r>
      <w:r>
        <w:rPr>
          <w:rFonts w:hint="eastAsia" w:ascii="仿宋_GB2312" w:hAnsi="宋体" w:eastAsia="仿宋_GB2312" w:cs="宋体"/>
          <w:color w:val="000000" w:themeColor="text1"/>
          <w:kern w:val="0"/>
          <w:sz w:val="32"/>
          <w:szCs w:val="32"/>
        </w:rPr>
        <w:t>预算256.98万元，其中：政府采购货物预算156.98万元，政府采购工程预算0万元，政府采购服务预算 100 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600" w:lineRule="exact"/>
        <w:ind w:firstLine="640" w:firstLineChars="200"/>
        <w:rPr>
          <w:rFonts w:ascii="仿宋_GB2312" w:hAnsi="黑体" w:eastAsia="仿宋_GB2312"/>
          <w:color w:val="000000"/>
          <w:sz w:val="32"/>
          <w:szCs w:val="32"/>
        </w:rPr>
      </w:pPr>
      <w:r>
        <w:rPr>
          <w:rFonts w:hint="eastAsia" w:ascii="仿宋_GB2312" w:hAnsi="黑体" w:eastAsia="仿宋_GB2312"/>
          <w:color w:val="000000"/>
          <w:sz w:val="32"/>
          <w:szCs w:val="32"/>
        </w:rPr>
        <w:t>截止2020年底，</w:t>
      </w:r>
      <w:r>
        <w:rPr>
          <w:rFonts w:hint="eastAsia" w:ascii="仿宋_GB2312" w:hAnsi="宋体" w:eastAsia="仿宋_GB2312"/>
          <w:color w:val="000000"/>
          <w:sz w:val="32"/>
          <w:szCs w:val="32"/>
        </w:rPr>
        <w:t>自治区国土资源执法监察总队(汇总)</w:t>
      </w:r>
      <w:r>
        <w:rPr>
          <w:rFonts w:hint="eastAsia" w:ascii="仿宋_GB2312" w:hAnsi="黑体" w:eastAsia="仿宋_GB2312"/>
          <w:color w:val="000000"/>
          <w:sz w:val="32"/>
          <w:szCs w:val="32"/>
        </w:rPr>
        <w:t>部门及下属各预算单位</w:t>
      </w:r>
      <w:r>
        <w:rPr>
          <w:rFonts w:hint="eastAsia" w:ascii="仿宋_GB2312" w:hAnsi="宋体" w:eastAsia="仿宋_GB2312" w:cs="宋体"/>
          <w:kern w:val="0"/>
          <w:sz w:val="32"/>
          <w:szCs w:val="32"/>
        </w:rPr>
        <w:t>占用使用国有资产总体情况</w:t>
      </w:r>
      <w:r>
        <w:rPr>
          <w:rFonts w:hint="eastAsia" w:ascii="仿宋_GB2312" w:hAnsi="黑体" w:eastAsia="仿宋_GB2312"/>
          <w:color w:val="000000"/>
          <w:sz w:val="32"/>
          <w:szCs w:val="32"/>
        </w:rPr>
        <w:t>为：</w:t>
      </w:r>
    </w:p>
    <w:p>
      <w:pPr>
        <w:numPr>
          <w:ilvl w:val="0"/>
          <w:numId w:val="1"/>
        </w:numPr>
        <w:spacing w:line="600" w:lineRule="exact"/>
        <w:rPr>
          <w:rFonts w:ascii="仿宋_GB2312" w:hAnsi="黑体" w:eastAsia="仿宋_GB2312"/>
          <w:color w:val="000000"/>
          <w:sz w:val="32"/>
          <w:szCs w:val="32"/>
        </w:rPr>
      </w:pPr>
      <w:r>
        <w:rPr>
          <w:rFonts w:hint="eastAsia" w:ascii="仿宋_GB2312" w:hAnsi="黑体" w:eastAsia="仿宋_GB2312"/>
          <w:color w:val="000000"/>
          <w:sz w:val="32"/>
          <w:szCs w:val="32"/>
        </w:rPr>
        <w:t>房屋10850.78平方米，价值3587.65万元。</w:t>
      </w:r>
    </w:p>
    <w:p>
      <w:pPr>
        <w:spacing w:line="600" w:lineRule="exact"/>
        <w:ind w:left="1000"/>
        <w:rPr>
          <w:rFonts w:ascii="仿宋_GB2312" w:hAnsi="黑体" w:eastAsia="仿宋_GB2312"/>
          <w:color w:val="000000"/>
          <w:sz w:val="32"/>
          <w:szCs w:val="32"/>
        </w:rPr>
      </w:pPr>
      <w:r>
        <w:rPr>
          <w:rFonts w:hint="eastAsia" w:ascii="仿宋_GB2312" w:hAnsi="黑体" w:eastAsia="仿宋_GB2312"/>
          <w:color w:val="000000"/>
          <w:sz w:val="32"/>
          <w:szCs w:val="32"/>
        </w:rPr>
        <w:t>其中：（办公用房813.5平方米，价值249.01万元；业务用房2892.58平方米，价值932.02万元；其他7144.67平方米，价值2406.1万元）。</w:t>
      </w:r>
    </w:p>
    <w:p>
      <w:pPr>
        <w:numPr>
          <w:ilvl w:val="0"/>
          <w:numId w:val="1"/>
        </w:numPr>
        <w:spacing w:line="600" w:lineRule="exact"/>
        <w:rPr>
          <w:rFonts w:ascii="仿宋_GB2312" w:hAnsi="黑体" w:eastAsia="仿宋_GB2312"/>
          <w:color w:val="000000"/>
          <w:sz w:val="32"/>
          <w:szCs w:val="32"/>
        </w:rPr>
      </w:pPr>
      <w:r>
        <w:rPr>
          <w:rFonts w:hint="eastAsia" w:ascii="仿宋_GB2312" w:hAnsi="黑体" w:eastAsia="仿宋_GB2312"/>
          <w:color w:val="000000"/>
          <w:sz w:val="32"/>
          <w:szCs w:val="32"/>
        </w:rPr>
        <w:t>车辆243辆，价值5075.47万元。其中：一般公务用车24辆，价值 820.20万元；执法执勤用车120辆，价值2450.97万元；其他车辆99辆，价值1804.3万元。</w:t>
      </w:r>
    </w:p>
    <w:p>
      <w:pPr>
        <w:numPr>
          <w:ilvl w:val="0"/>
          <w:numId w:val="1"/>
        </w:numPr>
        <w:spacing w:line="600" w:lineRule="exact"/>
        <w:rPr>
          <w:rFonts w:ascii="仿宋_GB2312" w:hAnsi="黑体" w:eastAsia="仿宋_GB2312"/>
          <w:color w:val="000000"/>
          <w:sz w:val="32"/>
          <w:szCs w:val="32"/>
        </w:rPr>
      </w:pPr>
      <w:r>
        <w:rPr>
          <w:rFonts w:hint="eastAsia" w:ascii="仿宋_GB2312" w:hAnsi="黑体" w:eastAsia="仿宋_GB2312"/>
          <w:color w:val="000000"/>
          <w:sz w:val="32"/>
          <w:szCs w:val="32"/>
        </w:rPr>
        <w:t>办公家具价值678.72万元。</w:t>
      </w:r>
    </w:p>
    <w:p>
      <w:pPr>
        <w:numPr>
          <w:ilvl w:val="0"/>
          <w:numId w:val="1"/>
        </w:numPr>
        <w:spacing w:line="600" w:lineRule="exact"/>
        <w:rPr>
          <w:rFonts w:ascii="仿宋_GB2312" w:hAnsi="黑体" w:eastAsia="仿宋_GB2312"/>
          <w:color w:val="000000"/>
          <w:sz w:val="32"/>
          <w:szCs w:val="32"/>
        </w:rPr>
      </w:pPr>
      <w:r>
        <w:rPr>
          <w:rFonts w:hint="eastAsia" w:ascii="仿宋_GB2312" w:hAnsi="黑体" w:eastAsia="仿宋_GB2312"/>
          <w:color w:val="000000"/>
          <w:sz w:val="32"/>
          <w:szCs w:val="32"/>
        </w:rPr>
        <w:t>其他资产价值2988.81万元。</w:t>
      </w:r>
    </w:p>
    <w:p>
      <w:pPr>
        <w:spacing w:line="600" w:lineRule="exact"/>
        <w:ind w:left="640"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单价50万（含）以上的通用设备2套（台）157.63  万元、单价100万（含）以上的大型设备0套（台）0万元。</w:t>
      </w:r>
    </w:p>
    <w:p>
      <w:pPr>
        <w:spacing w:line="600" w:lineRule="exact"/>
        <w:ind w:left="640"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2020年度自治区国土资源执法监察总队（汇总）部门预算未安排购置车辆经费，安排购置50万元以上大型设备0台（套），单位价值100万元以上大型设备 0台（套）</w:t>
      </w:r>
    </w:p>
    <w:p>
      <w:pPr>
        <w:spacing w:line="560" w:lineRule="exact"/>
        <w:ind w:firstLine="482" w:firstLineChars="150"/>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widowControl/>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2020年度，本年度实行绩效管理的项目2 个，涉及预算金额4736万元。具体情况见下表（按项目分别填报）</w:t>
      </w:r>
      <w:r>
        <w:rPr>
          <w:rFonts w:ascii="仿宋_GB2312" w:hAnsi="宋体" w:eastAsia="仿宋_GB2312" w:cs="宋体"/>
          <w:kern w:val="0"/>
          <w:sz w:val="32"/>
          <w:szCs w:val="32"/>
        </w:rPr>
        <w:br w:type="page"/>
      </w:r>
    </w:p>
    <w:p>
      <w:pPr>
        <w:widowControl/>
        <w:jc w:val="left"/>
        <w:rPr>
          <w:rFonts w:ascii="仿宋_GB2312" w:hAnsi="宋体" w:eastAsia="仿宋_GB2312" w:cs="宋体"/>
          <w:vanish/>
          <w:kern w:val="0"/>
          <w:sz w:val="32"/>
          <w:szCs w:val="32"/>
        </w:rPr>
        <w:sectPr>
          <w:pgSz w:w="11906" w:h="16838"/>
          <w:pgMar w:top="1440" w:right="1797" w:bottom="1440" w:left="1135" w:header="851" w:footer="992" w:gutter="0"/>
          <w:pgNumType w:fmt="numberInDash" w:start="32"/>
          <w:cols w:space="425" w:num="1"/>
          <w:docGrid w:type="lines" w:linePitch="312" w:charSpace="0"/>
        </w:sectPr>
      </w:pPr>
    </w:p>
    <w:p/>
    <w:tbl>
      <w:tblPr>
        <w:tblStyle w:val="7"/>
        <w:tblpPr w:leftFromText="180" w:rightFromText="180" w:vertAnchor="text" w:horzAnchor="margin" w:tblpXSpec="center" w:tblpY="-1136"/>
        <w:tblOverlap w:val="never"/>
        <w:tblW w:w="17560" w:type="dxa"/>
        <w:tblInd w:w="0" w:type="dxa"/>
        <w:tblLayout w:type="autofit"/>
        <w:tblCellMar>
          <w:top w:w="0" w:type="dxa"/>
          <w:left w:w="108" w:type="dxa"/>
          <w:bottom w:w="0" w:type="dxa"/>
          <w:right w:w="108" w:type="dxa"/>
        </w:tblCellMar>
      </w:tblPr>
      <w:tblGrid>
        <w:gridCol w:w="851"/>
        <w:gridCol w:w="1134"/>
        <w:gridCol w:w="1936"/>
        <w:gridCol w:w="415"/>
        <w:gridCol w:w="436"/>
        <w:gridCol w:w="817"/>
        <w:gridCol w:w="894"/>
        <w:gridCol w:w="1238"/>
        <w:gridCol w:w="195"/>
        <w:gridCol w:w="288"/>
        <w:gridCol w:w="820"/>
        <w:gridCol w:w="130"/>
        <w:gridCol w:w="2693"/>
        <w:gridCol w:w="236"/>
        <w:gridCol w:w="1384"/>
        <w:gridCol w:w="1559"/>
        <w:gridCol w:w="491"/>
        <w:gridCol w:w="437"/>
        <w:gridCol w:w="222"/>
        <w:gridCol w:w="1384"/>
      </w:tblGrid>
      <w:tr>
        <w:tblPrEx>
          <w:tblCellMar>
            <w:top w:w="0" w:type="dxa"/>
            <w:left w:w="108" w:type="dxa"/>
            <w:bottom w:w="0" w:type="dxa"/>
            <w:right w:w="108" w:type="dxa"/>
          </w:tblCellMar>
        </w:tblPrEx>
        <w:trPr>
          <w:gridAfter w:val="3"/>
          <w:wAfter w:w="2043" w:type="dxa"/>
          <w:trHeight w:val="405" w:hRule="atLeast"/>
        </w:trPr>
        <w:tc>
          <w:tcPr>
            <w:tcW w:w="15517" w:type="dxa"/>
            <w:gridSpan w:val="17"/>
            <w:tcBorders>
              <w:top w:val="nil"/>
              <w:left w:val="nil"/>
              <w:bottom w:val="nil"/>
              <w:right w:val="nil"/>
            </w:tcBorders>
            <w:shd w:val="clear" w:color="auto" w:fill="auto"/>
            <w:noWrap/>
            <w:vAlign w:val="bottom"/>
          </w:tcPr>
          <w:p>
            <w:pPr>
              <w:widowControl/>
              <w:ind w:firstLine="964" w:firstLineChars="300"/>
              <w:jc w:val="center"/>
              <w:rPr>
                <w:rFonts w:hint="eastAsia" w:ascii="宋体" w:hAnsi="宋体" w:cs="宋体"/>
                <w:b/>
                <w:bCs/>
                <w:kern w:val="0"/>
                <w:sz w:val="32"/>
                <w:szCs w:val="32"/>
              </w:rPr>
            </w:pPr>
          </w:p>
          <w:p>
            <w:pPr>
              <w:widowControl/>
              <w:ind w:firstLine="964" w:firstLineChars="300"/>
              <w:jc w:val="center"/>
              <w:rPr>
                <w:rFonts w:ascii="宋体" w:hAnsi="宋体" w:cs="宋体"/>
                <w:b/>
                <w:bCs/>
                <w:kern w:val="0"/>
                <w:sz w:val="32"/>
                <w:szCs w:val="32"/>
              </w:rPr>
            </w:pPr>
            <w:r>
              <w:rPr>
                <w:rFonts w:hint="eastAsia" w:ascii="宋体" w:hAnsi="宋体" w:cs="宋体"/>
                <w:b/>
                <w:bCs/>
                <w:kern w:val="0"/>
                <w:sz w:val="32"/>
                <w:szCs w:val="32"/>
              </w:rPr>
              <w:t>项  目  支  出  绩  效  目  标  表</w:t>
            </w:r>
          </w:p>
        </w:tc>
      </w:tr>
      <w:tr>
        <w:tblPrEx>
          <w:tblCellMar>
            <w:top w:w="0" w:type="dxa"/>
            <w:left w:w="108" w:type="dxa"/>
            <w:bottom w:w="0" w:type="dxa"/>
            <w:right w:w="108" w:type="dxa"/>
          </w:tblCellMar>
        </w:tblPrEx>
        <w:trPr>
          <w:trHeight w:val="95" w:hRule="atLeast"/>
        </w:trPr>
        <w:tc>
          <w:tcPr>
            <w:tcW w:w="1985" w:type="dxa"/>
            <w:gridSpan w:val="2"/>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351" w:type="dxa"/>
            <w:gridSpan w:val="2"/>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1253" w:type="dxa"/>
            <w:gridSpan w:val="2"/>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327" w:type="dxa"/>
            <w:gridSpan w:val="3"/>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88"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950" w:type="dxa"/>
            <w:gridSpan w:val="2"/>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693"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36"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3871" w:type="dxa"/>
            <w:gridSpan w:val="4"/>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22"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1384"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gridBefore w:val="1"/>
          <w:gridAfter w:val="4"/>
          <w:wBefore w:w="851" w:type="dxa"/>
          <w:wAfter w:w="2534" w:type="dxa"/>
          <w:trHeight w:val="600" w:hRule="atLeast"/>
        </w:trPr>
        <w:tc>
          <w:tcPr>
            <w:tcW w:w="1134" w:type="dxa"/>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736" w:type="dxa"/>
            <w:gridSpan w:val="6"/>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新疆维吾尔自治区国土资源执法监察总队</w:t>
            </w:r>
          </w:p>
        </w:tc>
        <w:tc>
          <w:tcPr>
            <w:tcW w:w="1433" w:type="dxa"/>
            <w:gridSpan w:val="4"/>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 xml:space="preserve"> 项目名称 </w:t>
            </w:r>
          </w:p>
        </w:tc>
        <w:tc>
          <w:tcPr>
            <w:tcW w:w="5872" w:type="dxa"/>
            <w:gridSpan w:val="4"/>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总队机关房屋租赁</w:t>
            </w:r>
          </w:p>
        </w:tc>
      </w:tr>
      <w:tr>
        <w:tblPrEx>
          <w:tblCellMar>
            <w:top w:w="0" w:type="dxa"/>
            <w:left w:w="108" w:type="dxa"/>
            <w:bottom w:w="0" w:type="dxa"/>
            <w:right w:w="108" w:type="dxa"/>
          </w:tblCellMar>
        </w:tblPrEx>
        <w:trPr>
          <w:gridBefore w:val="1"/>
          <w:gridAfter w:val="4"/>
          <w:wBefore w:w="851" w:type="dxa"/>
          <w:wAfter w:w="2534" w:type="dxa"/>
          <w:trHeight w:val="600" w:hRule="atLeast"/>
        </w:trPr>
        <w:tc>
          <w:tcPr>
            <w:tcW w:w="1134" w:type="dxa"/>
            <w:tcBorders>
              <w:top w:val="nil"/>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78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171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136</w:t>
            </w:r>
          </w:p>
        </w:tc>
        <w:tc>
          <w:tcPr>
            <w:tcW w:w="123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433"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136</w:t>
            </w:r>
          </w:p>
        </w:tc>
        <w:tc>
          <w:tcPr>
            <w:tcW w:w="431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gridBefore w:val="1"/>
          <w:gridAfter w:val="4"/>
          <w:wBefore w:w="851" w:type="dxa"/>
          <w:wAfter w:w="2534" w:type="dxa"/>
          <w:trHeight w:val="648" w:hRule="atLeast"/>
        </w:trPr>
        <w:tc>
          <w:tcPr>
            <w:tcW w:w="1134" w:type="dxa"/>
            <w:tcBorders>
              <w:top w:val="nil"/>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3041" w:type="dxa"/>
            <w:gridSpan w:val="14"/>
            <w:tcBorders>
              <w:top w:val="single" w:color="000000" w:sz="4" w:space="0"/>
              <w:left w:val="nil"/>
              <w:bottom w:val="single" w:color="000000"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此项目实施，能够保障总队机关有相对稳定的办公场所和办公环境，提高干部职工的积极性，让执法人员集中精力查办案件，体现执法单位的权威性，为国土资源执法监察工作的开展提供基本保障，项目主要用于支付总队机关办公场所房屋租金及物业管理费用。涉及范围为总队机关。</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tcBorders>
              <w:top w:val="nil"/>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93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restart"/>
            <w:tcBorders>
              <w:top w:val="nil"/>
              <w:left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936"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租赁合同</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41万元</w:t>
            </w:r>
          </w:p>
        </w:tc>
      </w:tr>
      <w:tr>
        <w:tblPrEx>
          <w:tblCellMar>
            <w:top w:w="0" w:type="dxa"/>
            <w:left w:w="108" w:type="dxa"/>
            <w:bottom w:w="0" w:type="dxa"/>
            <w:right w:w="108" w:type="dxa"/>
          </w:tblCellMar>
        </w:tblPrEx>
        <w:trPr>
          <w:gridBefore w:val="1"/>
          <w:gridAfter w:val="4"/>
          <w:wBefore w:w="851" w:type="dxa"/>
          <w:wAfter w:w="2534" w:type="dxa"/>
          <w:trHeight w:val="421"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物业合同</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95万元</w:t>
            </w:r>
          </w:p>
        </w:tc>
      </w:tr>
      <w:tr>
        <w:tblPrEx>
          <w:tblCellMar>
            <w:top w:w="0" w:type="dxa"/>
            <w:left w:w="108" w:type="dxa"/>
            <w:bottom w:w="0" w:type="dxa"/>
            <w:right w:w="108" w:type="dxa"/>
          </w:tblCellMar>
        </w:tblPrEx>
        <w:trPr>
          <w:gridBefore w:val="1"/>
          <w:gridAfter w:val="4"/>
          <w:wBefore w:w="851" w:type="dxa"/>
          <w:wAfter w:w="2534" w:type="dxa"/>
          <w:trHeight w:val="85"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物业管理费缴纳周期</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12个月</w:t>
            </w:r>
          </w:p>
        </w:tc>
      </w:tr>
      <w:tr>
        <w:tblPrEx>
          <w:tblCellMar>
            <w:top w:w="0" w:type="dxa"/>
            <w:left w:w="108" w:type="dxa"/>
            <w:bottom w:w="0" w:type="dxa"/>
            <w:right w:w="108" w:type="dxa"/>
          </w:tblCellMar>
        </w:tblPrEx>
        <w:trPr>
          <w:gridBefore w:val="1"/>
          <w:gridAfter w:val="4"/>
          <w:wBefore w:w="851" w:type="dxa"/>
          <w:wAfter w:w="2534" w:type="dxa"/>
          <w:trHeight w:val="328"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房租缴纳周期</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12个月</w:t>
            </w:r>
          </w:p>
        </w:tc>
      </w:tr>
      <w:tr>
        <w:tblPrEx>
          <w:tblCellMar>
            <w:top w:w="0" w:type="dxa"/>
            <w:left w:w="108" w:type="dxa"/>
            <w:bottom w:w="0" w:type="dxa"/>
            <w:right w:w="108" w:type="dxa"/>
          </w:tblCellMar>
        </w:tblPrEx>
        <w:trPr>
          <w:gridBefore w:val="1"/>
          <w:gridAfter w:val="4"/>
          <w:wBefore w:w="851" w:type="dxa"/>
          <w:wAfter w:w="2534" w:type="dxa"/>
          <w:trHeight w:val="85"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租赁房屋面积</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1960.85平方米</w:t>
            </w:r>
          </w:p>
        </w:tc>
      </w:tr>
      <w:tr>
        <w:tblPrEx>
          <w:tblCellMar>
            <w:top w:w="0" w:type="dxa"/>
            <w:left w:w="108" w:type="dxa"/>
            <w:bottom w:w="0" w:type="dxa"/>
            <w:right w:w="108" w:type="dxa"/>
          </w:tblCellMar>
        </w:tblPrEx>
        <w:trPr>
          <w:gridBefore w:val="1"/>
          <w:gridAfter w:val="4"/>
          <w:wBefore w:w="851" w:type="dxa"/>
          <w:wAfter w:w="2534" w:type="dxa"/>
          <w:trHeight w:val="85"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tcBorders>
              <w:top w:val="nil"/>
              <w:left w:val="nil"/>
              <w:bottom w:val="nil"/>
              <w:right w:val="single" w:color="000000" w:sz="4" w:space="0"/>
            </w:tcBorders>
            <w:shd w:val="clear" w:color="auto" w:fill="auto"/>
            <w:vAlign w:val="center"/>
          </w:tcPr>
          <w:p>
            <w:pPr>
              <w:widowControl/>
              <w:jc w:val="center"/>
              <w:rPr>
                <w:rFonts w:hint="eastAsia"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办公面积保障率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100%</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left w:val="single" w:color="auto"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物业服务保证率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ascii="宋体" w:hAnsi="宋体" w:cs="宋体"/>
                <w:kern w:val="0"/>
                <w:sz w:val="18"/>
                <w:szCs w:val="18"/>
              </w:rPr>
              <w:t>95%</w:t>
            </w:r>
          </w:p>
        </w:tc>
      </w:tr>
      <w:tr>
        <w:tblPrEx>
          <w:tblCellMar>
            <w:top w:w="0" w:type="dxa"/>
            <w:left w:w="108" w:type="dxa"/>
            <w:bottom w:w="0" w:type="dxa"/>
            <w:right w:w="108" w:type="dxa"/>
          </w:tblCellMar>
        </w:tblPrEx>
        <w:trPr>
          <w:gridBefore w:val="1"/>
          <w:gridAfter w:val="4"/>
          <w:wBefore w:w="851" w:type="dxa"/>
          <w:wAfter w:w="2534" w:type="dxa"/>
          <w:trHeight w:val="688" w:hRule="atLeast"/>
        </w:trPr>
        <w:tc>
          <w:tcPr>
            <w:tcW w:w="1134" w:type="dxa"/>
            <w:vMerge w:val="continue"/>
            <w:tcBorders>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bottom w:val="nil"/>
              <w:right w:val="single" w:color="000000" w:sz="4" w:space="0"/>
            </w:tcBorders>
            <w:shd w:val="clear" w:color="auto" w:fill="auto"/>
            <w:vAlign w:val="center"/>
          </w:tcPr>
          <w:p>
            <w:pPr>
              <w:widowControl/>
              <w:jc w:val="center"/>
              <w:rPr>
                <w:rFonts w:hint="eastAsia" w:ascii="宋体" w:hAnsi="宋体" w:cs="宋体"/>
                <w:kern w:val="0"/>
                <w:sz w:val="18"/>
                <w:szCs w:val="18"/>
              </w:rPr>
            </w:pP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资金到位率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ascii="宋体" w:hAnsi="宋体" w:cs="宋体"/>
                <w:kern w:val="0"/>
                <w:sz w:val="18"/>
                <w:szCs w:val="18"/>
              </w:rPr>
              <w:t>100%</w:t>
            </w:r>
          </w:p>
        </w:tc>
      </w:tr>
      <w:tr>
        <w:tblPrEx>
          <w:tblCellMar>
            <w:top w:w="0" w:type="dxa"/>
            <w:left w:w="108" w:type="dxa"/>
            <w:bottom w:w="0" w:type="dxa"/>
            <w:right w:w="108" w:type="dxa"/>
          </w:tblCellMar>
        </w:tblPrEx>
        <w:trPr>
          <w:gridBefore w:val="1"/>
          <w:gridAfter w:val="4"/>
          <w:wBefore w:w="851" w:type="dxa"/>
          <w:wAfter w:w="2534" w:type="dxa"/>
          <w:trHeight w:val="483" w:hRule="atLeast"/>
        </w:trPr>
        <w:tc>
          <w:tcPr>
            <w:tcW w:w="1134" w:type="dxa"/>
            <w:tcBorders>
              <w:top w:val="nil"/>
              <w:left w:val="single" w:color="auto" w:sz="4" w:space="0"/>
              <w:bottom w:val="nil"/>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93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保障国土资源执法监察工作办公场所稳定</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r>
      <w:tr>
        <w:tblPrEx>
          <w:tblCellMar>
            <w:top w:w="0" w:type="dxa"/>
            <w:left w:w="108" w:type="dxa"/>
            <w:bottom w:w="0" w:type="dxa"/>
            <w:right w:w="108" w:type="dxa"/>
          </w:tblCellMar>
        </w:tblPrEx>
        <w:trPr>
          <w:gridBefore w:val="1"/>
          <w:gridAfter w:val="4"/>
          <w:wBefore w:w="851" w:type="dxa"/>
          <w:wAfter w:w="2534" w:type="dxa"/>
          <w:trHeight w:val="846" w:hRule="atLeast"/>
        </w:trPr>
        <w:tc>
          <w:tcPr>
            <w:tcW w:w="1134" w:type="dxa"/>
            <w:tcBorders>
              <w:top w:val="nil"/>
              <w:left w:val="single" w:color="auto" w:sz="4" w:space="0"/>
              <w:bottom w:val="nil"/>
              <w:right w:val="nil"/>
            </w:tcBorders>
            <w:shd w:val="clear" w:color="auto" w:fill="auto"/>
            <w:vAlign w:val="center"/>
          </w:tcPr>
          <w:p>
            <w:pPr>
              <w:widowControl/>
              <w:jc w:val="center"/>
              <w:rPr>
                <w:rFonts w:hint="eastAsia" w:ascii="宋体" w:hAnsi="宋体" w:cs="宋体"/>
                <w:kern w:val="0"/>
                <w:sz w:val="18"/>
                <w:szCs w:val="18"/>
              </w:rPr>
            </w:pPr>
          </w:p>
        </w:tc>
        <w:tc>
          <w:tcPr>
            <w:tcW w:w="1936" w:type="dxa"/>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18"/>
                <w:szCs w:val="18"/>
              </w:rPr>
            </w:pP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解决办公用房人数</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60人</w:t>
            </w:r>
          </w:p>
        </w:tc>
      </w:tr>
      <w:tr>
        <w:tblPrEx>
          <w:tblCellMar>
            <w:top w:w="0" w:type="dxa"/>
            <w:left w:w="108" w:type="dxa"/>
            <w:bottom w:w="0" w:type="dxa"/>
            <w:right w:w="108" w:type="dxa"/>
          </w:tblCellMar>
        </w:tblPrEx>
        <w:trPr>
          <w:gridBefore w:val="1"/>
          <w:gridAfter w:val="4"/>
          <w:wBefore w:w="851" w:type="dxa"/>
          <w:wAfter w:w="2534" w:type="dxa"/>
          <w:trHeight w:val="700" w:hRule="atLeast"/>
        </w:trPr>
        <w:tc>
          <w:tcPr>
            <w:tcW w:w="1134" w:type="dxa"/>
            <w:vMerge w:val="restart"/>
            <w:tcBorders>
              <w:top w:val="nil"/>
              <w:left w:val="single" w:color="auto" w:sz="4" w:space="0"/>
              <w:right w:val="nil"/>
            </w:tcBorders>
            <w:shd w:val="clear" w:color="auto" w:fill="auto"/>
            <w:vAlign w:val="center"/>
          </w:tcPr>
          <w:p>
            <w:pPr>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36" w:type="dxa"/>
            <w:vMerge w:val="restart"/>
            <w:tcBorders>
              <w:left w:val="single" w:color="auto" w:sz="4" w:space="0"/>
              <w:right w:val="single" w:color="auto" w:sz="4" w:space="0"/>
            </w:tcBorders>
            <w:shd w:val="clear" w:color="auto" w:fill="auto"/>
            <w:vAlign w:val="center"/>
          </w:tcPr>
          <w:p>
            <w:pPr>
              <w:jc w:val="center"/>
              <w:rPr>
                <w:rFonts w:hint="eastAsia" w:ascii="宋体" w:hAnsi="宋体" w:cs="宋体"/>
                <w:kern w:val="0"/>
                <w:sz w:val="18"/>
                <w:szCs w:val="18"/>
              </w:rPr>
            </w:pPr>
            <w:r>
              <w:rPr>
                <w:rFonts w:hint="eastAsia" w:ascii="宋体" w:hAnsi="宋体" w:cs="宋体"/>
                <w:kern w:val="0"/>
                <w:sz w:val="18"/>
                <w:szCs w:val="18"/>
              </w:rPr>
              <w:t>满意度指标</w:t>
            </w: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单位职工满意度</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95%</w:t>
            </w:r>
          </w:p>
        </w:tc>
      </w:tr>
      <w:tr>
        <w:tblPrEx>
          <w:tblCellMar>
            <w:top w:w="0" w:type="dxa"/>
            <w:left w:w="108" w:type="dxa"/>
            <w:bottom w:w="0" w:type="dxa"/>
            <w:right w:w="108" w:type="dxa"/>
          </w:tblCellMar>
        </w:tblPrEx>
        <w:trPr>
          <w:gridBefore w:val="1"/>
          <w:gridAfter w:val="4"/>
          <w:wBefore w:w="851" w:type="dxa"/>
          <w:wAfter w:w="2534" w:type="dxa"/>
          <w:trHeight w:val="559" w:hRule="atLeast"/>
        </w:trPr>
        <w:tc>
          <w:tcPr>
            <w:tcW w:w="1134" w:type="dxa"/>
            <w:vMerge w:val="continue"/>
            <w:tcBorders>
              <w:left w:val="single" w:color="auto" w:sz="4" w:space="0"/>
              <w:right w:val="nil"/>
            </w:tcBorders>
            <w:shd w:val="clear" w:color="auto" w:fill="auto"/>
            <w:vAlign w:val="center"/>
          </w:tcPr>
          <w:p>
            <w:pPr>
              <w:jc w:val="center"/>
              <w:rPr>
                <w:rFonts w:hint="eastAsia" w:ascii="宋体" w:hAnsi="宋体" w:cs="宋体"/>
                <w:kern w:val="0"/>
                <w:sz w:val="18"/>
                <w:szCs w:val="18"/>
              </w:rPr>
            </w:pPr>
          </w:p>
        </w:tc>
        <w:tc>
          <w:tcPr>
            <w:tcW w:w="1936" w:type="dxa"/>
            <w:vMerge w:val="continue"/>
            <w:tcBorders>
              <w:left w:val="single" w:color="auto" w:sz="4" w:space="0"/>
              <w:right w:val="single" w:color="auto" w:sz="4" w:space="0"/>
            </w:tcBorders>
            <w:shd w:val="clear" w:color="auto" w:fill="auto"/>
            <w:vAlign w:val="center"/>
          </w:tcPr>
          <w:p>
            <w:pPr>
              <w:jc w:val="center"/>
              <w:rPr>
                <w:rFonts w:hint="eastAsia" w:ascii="宋体" w:hAnsi="宋体" w:cs="宋体"/>
                <w:kern w:val="0"/>
                <w:sz w:val="18"/>
                <w:szCs w:val="18"/>
              </w:rPr>
            </w:pP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物业单位满意度</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95%</w:t>
            </w:r>
          </w:p>
        </w:tc>
      </w:tr>
      <w:tr>
        <w:tblPrEx>
          <w:tblCellMar>
            <w:top w:w="0" w:type="dxa"/>
            <w:left w:w="108" w:type="dxa"/>
            <w:bottom w:w="0" w:type="dxa"/>
            <w:right w:w="108" w:type="dxa"/>
          </w:tblCellMar>
        </w:tblPrEx>
        <w:trPr>
          <w:gridBefore w:val="1"/>
          <w:gridAfter w:val="4"/>
          <w:wBefore w:w="851" w:type="dxa"/>
          <w:wAfter w:w="2534" w:type="dxa"/>
          <w:trHeight w:val="566" w:hRule="atLeast"/>
        </w:trPr>
        <w:tc>
          <w:tcPr>
            <w:tcW w:w="1134" w:type="dxa"/>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936" w:type="dxa"/>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5103" w:type="dxa"/>
            <w:gridSpan w:val="8"/>
            <w:tcBorders>
              <w:top w:val="nil"/>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上级单位满意度</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95%</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vanish/>
        </w:rPr>
      </w:pPr>
    </w:p>
    <w:p>
      <w:pPr>
        <w:rPr>
          <w:rFonts w:hint="eastAsia"/>
        </w:rPr>
      </w:pPr>
    </w:p>
    <w:p>
      <w:pPr>
        <w:rPr>
          <w:rFonts w:hint="eastAsia"/>
        </w:rPr>
      </w:pPr>
    </w:p>
    <w:p>
      <w:pPr>
        <w:rPr>
          <w:vertAlign w:val="superscript"/>
        </w:rPr>
      </w:pPr>
    </w:p>
    <w:p>
      <w:pPr>
        <w:rPr>
          <w:rFonts w:hint="eastAsia"/>
          <w:vanish/>
        </w:rPr>
      </w:pPr>
    </w:p>
    <w:p>
      <w:pPr>
        <w:rPr>
          <w:rFonts w:hint="eastAsia"/>
          <w:vanish/>
        </w:rPr>
      </w:pPr>
    </w:p>
    <w:p>
      <w:pPr>
        <w:rPr>
          <w:rFonts w:hint="eastAsia"/>
          <w:vanish/>
        </w:rPr>
      </w:pPr>
    </w:p>
    <w:p>
      <w:pPr>
        <w:rPr>
          <w:vanish/>
        </w:rPr>
        <w:sectPr>
          <w:pgSz w:w="16838" w:h="11906" w:orient="landscape"/>
          <w:pgMar w:top="1135" w:right="1440" w:bottom="1797" w:left="1440" w:header="851" w:footer="992" w:gutter="0"/>
          <w:pgNumType w:fmt="numberInDash" w:start="32"/>
          <w:cols w:space="425" w:num="1"/>
          <w:docGrid w:type="lines" w:linePitch="312" w:charSpace="0"/>
        </w:sectPr>
      </w:pPr>
    </w:p>
    <w:p/>
    <w:tbl>
      <w:tblPr>
        <w:tblStyle w:val="7"/>
        <w:tblW w:w="20645" w:type="dxa"/>
        <w:tblInd w:w="-3720" w:type="dxa"/>
        <w:tblLayout w:type="autofit"/>
        <w:tblCellMar>
          <w:top w:w="0" w:type="dxa"/>
          <w:left w:w="108" w:type="dxa"/>
          <w:bottom w:w="0" w:type="dxa"/>
          <w:right w:w="108" w:type="dxa"/>
        </w:tblCellMar>
      </w:tblPr>
      <w:tblGrid>
        <w:gridCol w:w="6580"/>
        <w:gridCol w:w="2409"/>
        <w:gridCol w:w="2162"/>
        <w:gridCol w:w="1610"/>
        <w:gridCol w:w="445"/>
        <w:gridCol w:w="445"/>
        <w:gridCol w:w="2723"/>
        <w:gridCol w:w="351"/>
        <w:gridCol w:w="3218"/>
        <w:gridCol w:w="351"/>
        <w:gridCol w:w="351"/>
      </w:tblGrid>
      <w:tr>
        <w:tblPrEx>
          <w:tblCellMar>
            <w:top w:w="0" w:type="dxa"/>
            <w:left w:w="108" w:type="dxa"/>
            <w:bottom w:w="0" w:type="dxa"/>
            <w:right w:w="108" w:type="dxa"/>
          </w:tblCellMar>
        </w:tblPrEx>
        <w:trPr>
          <w:trHeight w:val="9637" w:hRule="atLeast"/>
        </w:trPr>
        <w:tc>
          <w:tcPr>
            <w:tcW w:w="20645" w:type="dxa"/>
            <w:gridSpan w:val="11"/>
            <w:tcBorders>
              <w:top w:val="nil"/>
              <w:left w:val="nil"/>
              <w:bottom w:val="nil"/>
              <w:right w:val="nil"/>
            </w:tcBorders>
            <w:shd w:val="clear" w:color="auto" w:fill="auto"/>
            <w:noWrap/>
            <w:vAlign w:val="bottom"/>
          </w:tcPr>
          <w:p>
            <w:pPr>
              <w:rPr>
                <w:rFonts w:hint="eastAsia"/>
              </w:rPr>
            </w:pPr>
          </w:p>
          <w:p>
            <w:pPr>
              <w:rPr>
                <w:rFonts w:hint="eastAsia"/>
              </w:rPr>
            </w:pPr>
          </w:p>
          <w:tbl>
            <w:tblPr>
              <w:tblStyle w:val="7"/>
              <w:tblpPr w:leftFromText="180" w:rightFromText="180" w:vertAnchor="text" w:horzAnchor="page" w:tblpX="2395" w:tblpY="-294"/>
              <w:tblOverlap w:val="never"/>
              <w:tblW w:w="17560" w:type="dxa"/>
              <w:tblInd w:w="0" w:type="dxa"/>
              <w:tblLayout w:type="autofit"/>
              <w:tblCellMar>
                <w:top w:w="0" w:type="dxa"/>
                <w:left w:w="108" w:type="dxa"/>
                <w:bottom w:w="0" w:type="dxa"/>
                <w:right w:w="108" w:type="dxa"/>
              </w:tblCellMar>
            </w:tblPr>
            <w:tblGrid>
              <w:gridCol w:w="851"/>
              <w:gridCol w:w="1134"/>
              <w:gridCol w:w="1936"/>
              <w:gridCol w:w="415"/>
              <w:gridCol w:w="436"/>
              <w:gridCol w:w="817"/>
              <w:gridCol w:w="894"/>
              <w:gridCol w:w="1238"/>
              <w:gridCol w:w="195"/>
              <w:gridCol w:w="288"/>
              <w:gridCol w:w="820"/>
              <w:gridCol w:w="130"/>
              <w:gridCol w:w="2693"/>
              <w:gridCol w:w="236"/>
              <w:gridCol w:w="1384"/>
              <w:gridCol w:w="1559"/>
              <w:gridCol w:w="491"/>
              <w:gridCol w:w="437"/>
              <w:gridCol w:w="222"/>
              <w:gridCol w:w="1384"/>
            </w:tblGrid>
            <w:tr>
              <w:tblPrEx>
                <w:tblCellMar>
                  <w:top w:w="0" w:type="dxa"/>
                  <w:left w:w="108" w:type="dxa"/>
                  <w:bottom w:w="0" w:type="dxa"/>
                  <w:right w:w="108" w:type="dxa"/>
                </w:tblCellMar>
              </w:tblPrEx>
              <w:trPr>
                <w:gridAfter w:val="3"/>
                <w:wAfter w:w="2043" w:type="dxa"/>
                <w:trHeight w:val="405" w:hRule="atLeast"/>
              </w:trPr>
              <w:tc>
                <w:tcPr>
                  <w:tcW w:w="15517" w:type="dxa"/>
                  <w:gridSpan w:val="17"/>
                  <w:tcBorders>
                    <w:top w:val="nil"/>
                    <w:left w:val="nil"/>
                    <w:bottom w:val="nil"/>
                    <w:right w:val="nil"/>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项  目  支  出  绩  效  目  标  表</w:t>
                  </w:r>
                </w:p>
              </w:tc>
            </w:tr>
            <w:tr>
              <w:tblPrEx>
                <w:tblCellMar>
                  <w:top w:w="0" w:type="dxa"/>
                  <w:left w:w="108" w:type="dxa"/>
                  <w:bottom w:w="0" w:type="dxa"/>
                  <w:right w:w="108" w:type="dxa"/>
                </w:tblCellMar>
              </w:tblPrEx>
              <w:trPr>
                <w:trHeight w:val="270" w:hRule="atLeast"/>
              </w:trPr>
              <w:tc>
                <w:tcPr>
                  <w:tcW w:w="1985" w:type="dxa"/>
                  <w:gridSpan w:val="2"/>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351" w:type="dxa"/>
                  <w:gridSpan w:val="2"/>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1253" w:type="dxa"/>
                  <w:gridSpan w:val="2"/>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327" w:type="dxa"/>
                  <w:gridSpan w:val="3"/>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88"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950" w:type="dxa"/>
                  <w:gridSpan w:val="2"/>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693"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36"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3871" w:type="dxa"/>
                  <w:gridSpan w:val="4"/>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222"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c>
                <w:tcPr>
                  <w:tcW w:w="1384"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gridBefore w:val="1"/>
                <w:gridAfter w:val="4"/>
                <w:wBefore w:w="851" w:type="dxa"/>
                <w:wAfter w:w="2534" w:type="dxa"/>
                <w:trHeight w:val="600" w:hRule="atLeast"/>
              </w:trPr>
              <w:tc>
                <w:tcPr>
                  <w:tcW w:w="1134" w:type="dxa"/>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736" w:type="dxa"/>
                  <w:gridSpan w:val="6"/>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新疆维吾尔自治区国土资源执法监察总队</w:t>
                  </w:r>
                </w:p>
              </w:tc>
              <w:tc>
                <w:tcPr>
                  <w:tcW w:w="1433" w:type="dxa"/>
                  <w:gridSpan w:val="4"/>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 xml:space="preserve"> 项目名称 </w:t>
                  </w:r>
                </w:p>
              </w:tc>
              <w:tc>
                <w:tcPr>
                  <w:tcW w:w="5872" w:type="dxa"/>
                  <w:gridSpan w:val="4"/>
                  <w:tcBorders>
                    <w:top w:val="single" w:color="auto"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全区国土资源执法监察系统执法办案经费</w:t>
                  </w:r>
                </w:p>
              </w:tc>
            </w:tr>
            <w:tr>
              <w:tblPrEx>
                <w:tblCellMar>
                  <w:top w:w="0" w:type="dxa"/>
                  <w:left w:w="108" w:type="dxa"/>
                  <w:bottom w:w="0" w:type="dxa"/>
                  <w:right w:w="108" w:type="dxa"/>
                </w:tblCellMar>
              </w:tblPrEx>
              <w:trPr>
                <w:gridBefore w:val="1"/>
                <w:gridAfter w:val="4"/>
                <w:wBefore w:w="851" w:type="dxa"/>
                <w:wAfter w:w="2534" w:type="dxa"/>
                <w:trHeight w:val="600" w:hRule="atLeast"/>
              </w:trPr>
              <w:tc>
                <w:tcPr>
                  <w:tcW w:w="1134" w:type="dxa"/>
                  <w:tcBorders>
                    <w:top w:val="nil"/>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787"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171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4600</w:t>
                  </w:r>
                </w:p>
              </w:tc>
              <w:tc>
                <w:tcPr>
                  <w:tcW w:w="123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433"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4600 </w:t>
                  </w:r>
                </w:p>
              </w:tc>
              <w:tc>
                <w:tcPr>
                  <w:tcW w:w="4313"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gridBefore w:val="1"/>
                <w:gridAfter w:val="4"/>
                <w:wBefore w:w="851" w:type="dxa"/>
                <w:wAfter w:w="2534" w:type="dxa"/>
                <w:trHeight w:val="648" w:hRule="atLeast"/>
              </w:trPr>
              <w:tc>
                <w:tcPr>
                  <w:tcW w:w="1134" w:type="dxa"/>
                  <w:tcBorders>
                    <w:top w:val="nil"/>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3041" w:type="dxa"/>
                  <w:gridSpan w:val="14"/>
                  <w:tcBorders>
                    <w:top w:val="single" w:color="000000" w:sz="4" w:space="0"/>
                    <w:left w:val="nil"/>
                    <w:bottom w:val="single" w:color="000000"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此项目是指因国土资源系统执法办案工作而发生的成本性支出，2020年主要完成：1、日常巡查、违法案件查处；2、卫片执法检查；3、对下级单位案件的督导，专项工作检查验收，业务指导；4、人员培训，三级电子政务及执法网络运行维护；4、三级电子政务及执法网络安全等级建设；5、干部人事及文书档案电子化；包括：1、聘用车辆驾驶人员产生的劳务费。2、执法办案人员巡查办案、督办案件、专项检查等工作产生的差旅费。3、违法项目的拆除、物质运输和仓储费用。扣押机械托运费和租赁车辆费用。4、执法车辆产生的专业燃料费。5、委托专业机构和律师事务所，就违法土地面积、矿产品进行测量、鉴定和法律咨询产生的费用。6、执法专用设备的购置和更新费用。7、其他费用：包括各单位因访惠聚等工作而产生的费用。8、其他上述范围未包括的国土资源执法办案支出。</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tcBorders>
                    <w:top w:val="nil"/>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93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restart"/>
                  <w:tcBorders>
                    <w:top w:val="nil"/>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936"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组织培训次数</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5次</w:t>
                  </w:r>
                </w:p>
              </w:tc>
            </w:tr>
            <w:tr>
              <w:tblPrEx>
                <w:tblCellMar>
                  <w:top w:w="0" w:type="dxa"/>
                  <w:left w:w="108" w:type="dxa"/>
                  <w:bottom w:w="0" w:type="dxa"/>
                  <w:right w:w="108" w:type="dxa"/>
                </w:tblCellMar>
              </w:tblPrEx>
              <w:trPr>
                <w:gridBefore w:val="1"/>
                <w:gridAfter w:val="4"/>
                <w:wBefore w:w="851" w:type="dxa"/>
                <w:wAfter w:w="2534" w:type="dxa"/>
                <w:trHeight w:val="315"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组织培训人数</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400人次</w:t>
                  </w:r>
                </w:p>
              </w:tc>
            </w:tr>
            <w:tr>
              <w:tblPrEx>
                <w:tblCellMar>
                  <w:top w:w="0" w:type="dxa"/>
                  <w:left w:w="108" w:type="dxa"/>
                  <w:bottom w:w="0" w:type="dxa"/>
                  <w:right w:w="108" w:type="dxa"/>
                </w:tblCellMar>
              </w:tblPrEx>
              <w:trPr>
                <w:gridBefore w:val="1"/>
                <w:gridAfter w:val="4"/>
                <w:wBefore w:w="851" w:type="dxa"/>
                <w:wAfter w:w="2534" w:type="dxa"/>
                <w:trHeight w:val="315"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完成非税收入征缴数</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12000万元</w:t>
                  </w:r>
                </w:p>
              </w:tc>
            </w:tr>
            <w:tr>
              <w:tblPrEx>
                <w:tblCellMar>
                  <w:top w:w="0" w:type="dxa"/>
                  <w:left w:w="108" w:type="dxa"/>
                  <w:bottom w:w="0" w:type="dxa"/>
                  <w:right w:w="108" w:type="dxa"/>
                </w:tblCellMar>
              </w:tblPrEx>
              <w:trPr>
                <w:gridBefore w:val="1"/>
                <w:gridAfter w:val="4"/>
                <w:wBefore w:w="851" w:type="dxa"/>
                <w:wAfter w:w="2534" w:type="dxa"/>
                <w:trHeight w:val="315"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每单位开展矿山整顿专项活动次数</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1次</w:t>
                  </w:r>
                </w:p>
              </w:tc>
            </w:tr>
            <w:tr>
              <w:tblPrEx>
                <w:tblCellMar>
                  <w:top w:w="0" w:type="dxa"/>
                  <w:left w:w="108" w:type="dxa"/>
                  <w:bottom w:w="0" w:type="dxa"/>
                  <w:right w:w="108" w:type="dxa"/>
                </w:tblCellMar>
              </w:tblPrEx>
              <w:trPr>
                <w:gridBefore w:val="1"/>
                <w:gridAfter w:val="4"/>
                <w:wBefore w:w="851" w:type="dxa"/>
                <w:wAfter w:w="2534" w:type="dxa"/>
                <w:trHeight w:val="315"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开展自然资源法律法规宣传普及人数</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≥20000人数</w:t>
                  </w:r>
                </w:p>
              </w:tc>
            </w:tr>
            <w:tr>
              <w:tblPrEx>
                <w:tblCellMar>
                  <w:top w:w="0" w:type="dxa"/>
                  <w:left w:w="108" w:type="dxa"/>
                  <w:bottom w:w="0" w:type="dxa"/>
                  <w:right w:w="108" w:type="dxa"/>
                </w:tblCellMar>
              </w:tblPrEx>
              <w:trPr>
                <w:gridBefore w:val="1"/>
                <w:gridAfter w:val="4"/>
                <w:wBefore w:w="851" w:type="dxa"/>
                <w:wAfter w:w="2534" w:type="dxa"/>
                <w:trHeight w:val="315"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构建防火墙系统数量</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2套</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restart"/>
                  <w:tcBorders>
                    <w:top w:val="nil"/>
                    <w:left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安全等级覆盖面</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102个站点</w:t>
                  </w:r>
                </w:p>
              </w:tc>
            </w:tr>
            <w:tr>
              <w:tblPrEx>
                <w:tblCellMar>
                  <w:top w:w="0" w:type="dxa"/>
                  <w:left w:w="108" w:type="dxa"/>
                  <w:bottom w:w="0" w:type="dxa"/>
                  <w:right w:w="108" w:type="dxa"/>
                </w:tblCellMar>
              </w:tblPrEx>
              <w:trPr>
                <w:gridBefore w:val="1"/>
                <w:gridAfter w:val="4"/>
                <w:wBefore w:w="851" w:type="dxa"/>
                <w:wAfter w:w="2534" w:type="dxa"/>
                <w:trHeight w:val="328"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专项检查督导覆盖面</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15个支队</w:t>
                  </w:r>
                </w:p>
              </w:tc>
            </w:tr>
            <w:tr>
              <w:tblPrEx>
                <w:tblCellMar>
                  <w:top w:w="0" w:type="dxa"/>
                  <w:left w:w="108" w:type="dxa"/>
                  <w:bottom w:w="0" w:type="dxa"/>
                  <w:right w:w="108" w:type="dxa"/>
                </w:tblCellMar>
              </w:tblPrEx>
              <w:trPr>
                <w:gridBefore w:val="1"/>
                <w:gridAfter w:val="4"/>
                <w:wBefore w:w="851" w:type="dxa"/>
                <w:wAfter w:w="2534" w:type="dxa"/>
                <w:trHeight w:val="328"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违法案件结案率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≥95%</w:t>
                  </w:r>
                </w:p>
              </w:tc>
            </w:tr>
            <w:tr>
              <w:tblPrEx>
                <w:tblCellMar>
                  <w:top w:w="0" w:type="dxa"/>
                  <w:left w:w="108" w:type="dxa"/>
                  <w:bottom w:w="0" w:type="dxa"/>
                  <w:right w:w="108" w:type="dxa"/>
                </w:tblCellMar>
              </w:tblPrEx>
              <w:trPr>
                <w:gridBefore w:val="1"/>
                <w:gridAfter w:val="4"/>
                <w:wBefore w:w="851" w:type="dxa"/>
                <w:wAfter w:w="2534" w:type="dxa"/>
                <w:trHeight w:val="328"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三级电子政务及执法业务网络运行维护保障率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≥95%</w:t>
                  </w:r>
                </w:p>
              </w:tc>
            </w:tr>
            <w:tr>
              <w:tblPrEx>
                <w:tblCellMar>
                  <w:top w:w="0" w:type="dxa"/>
                  <w:left w:w="108" w:type="dxa"/>
                  <w:bottom w:w="0" w:type="dxa"/>
                  <w:right w:w="108" w:type="dxa"/>
                </w:tblCellMar>
              </w:tblPrEx>
              <w:trPr>
                <w:gridBefore w:val="1"/>
                <w:gridAfter w:val="4"/>
                <w:wBefore w:w="851" w:type="dxa"/>
                <w:wAfter w:w="2534" w:type="dxa"/>
                <w:trHeight w:val="328"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案卷评查覆盖率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≥95%</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干部人事档案信息化费用</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≤7.5万</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tcBorders>
                    <w:top w:val="nil"/>
                    <w:left w:val="nil"/>
                    <w:bottom w:val="nil"/>
                    <w:right w:val="single" w:color="000000" w:sz="4" w:space="0"/>
                  </w:tcBorders>
                  <w:shd w:val="clear" w:color="auto" w:fill="auto"/>
                  <w:vAlign w:val="center"/>
                </w:tcPr>
                <w:p>
                  <w:pPr>
                    <w:widowControl/>
                    <w:jc w:val="center"/>
                    <w:rPr>
                      <w:rFonts w:hint="eastAsia"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文书档案信息化数量占项目总金额比例</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≤15万</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tcBorders>
                    <w:top w:val="nil"/>
                    <w:left w:val="nil"/>
                    <w:bottom w:val="nil"/>
                    <w:right w:val="single" w:color="000000" w:sz="4" w:space="0"/>
                  </w:tcBorders>
                  <w:shd w:val="clear" w:color="auto" w:fill="auto"/>
                  <w:vAlign w:val="center"/>
                </w:tcPr>
                <w:p>
                  <w:pPr>
                    <w:widowControl/>
                    <w:jc w:val="center"/>
                    <w:rPr>
                      <w:rFonts w:hint="eastAsia" w:ascii="宋体" w:hAnsi="宋体" w:cs="宋体"/>
                      <w:kern w:val="0"/>
                      <w:sz w:val="18"/>
                      <w:szCs w:val="18"/>
                    </w:rPr>
                  </w:pP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三级电子政务及执法业务网络运行维护费用占项目总金额比例</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ascii="宋体" w:hAnsi="宋体" w:cs="宋体"/>
                      <w:kern w:val="0"/>
                      <w:sz w:val="18"/>
                      <w:szCs w:val="18"/>
                    </w:rPr>
                    <w:t>0.5%</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vMerge w:val="continue"/>
                  <w:tcBorders>
                    <w:top w:val="nil"/>
                    <w:left w:val="single" w:color="auto"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936"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510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案件办理时限</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10个月</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tcBorders>
                    <w:top w:val="nil"/>
                    <w:left w:val="single" w:color="auto" w:sz="4" w:space="0"/>
                    <w:bottom w:val="nil"/>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936"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错案率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tcBorders>
                    <w:top w:val="nil"/>
                    <w:left w:val="single" w:color="auto" w:sz="4" w:space="0"/>
                    <w:bottom w:val="nil"/>
                    <w:right w:val="nil"/>
                  </w:tcBorders>
                  <w:shd w:val="clear" w:color="auto" w:fill="auto"/>
                  <w:vAlign w:val="center"/>
                </w:tcPr>
                <w:p>
                  <w:pPr>
                    <w:widowControl/>
                    <w:jc w:val="center"/>
                    <w:rPr>
                      <w:rFonts w:hint="eastAsia" w:ascii="宋体" w:hAnsi="宋体" w:cs="宋体"/>
                      <w:kern w:val="0"/>
                      <w:sz w:val="18"/>
                      <w:szCs w:val="18"/>
                    </w:rPr>
                  </w:pPr>
                </w:p>
              </w:tc>
              <w:tc>
                <w:tcPr>
                  <w:tcW w:w="193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可持续影响指标</w:t>
                  </w: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网络安全保障率</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ascii="宋体" w:hAnsi="宋体" w:cs="宋体"/>
                      <w:kern w:val="0"/>
                      <w:sz w:val="18"/>
                      <w:szCs w:val="18"/>
                    </w:rPr>
                    <w:t>95%</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tcBorders>
                    <w:top w:val="nil"/>
                    <w:left w:val="single" w:color="auto" w:sz="4" w:space="0"/>
                    <w:bottom w:val="nil"/>
                    <w:right w:val="nil"/>
                  </w:tcBorders>
                  <w:shd w:val="clear" w:color="auto" w:fill="auto"/>
                  <w:vAlign w:val="center"/>
                </w:tcPr>
                <w:p>
                  <w:pPr>
                    <w:widowControl/>
                    <w:jc w:val="center"/>
                    <w:rPr>
                      <w:rFonts w:hint="eastAsia" w:ascii="宋体" w:hAnsi="宋体" w:cs="宋体"/>
                      <w:kern w:val="0"/>
                      <w:sz w:val="18"/>
                      <w:szCs w:val="18"/>
                    </w:rPr>
                  </w:pPr>
                </w:p>
              </w:tc>
              <w:tc>
                <w:tcPr>
                  <w:tcW w:w="1936" w:type="dxa"/>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18"/>
                      <w:szCs w:val="18"/>
                    </w:rPr>
                  </w:pPr>
                </w:p>
              </w:tc>
              <w:tc>
                <w:tcPr>
                  <w:tcW w:w="5103" w:type="dxa"/>
                  <w:gridSpan w:val="8"/>
                  <w:tcBorders>
                    <w:top w:val="single" w:color="000000"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18"/>
                      <w:szCs w:val="18"/>
                    </w:rPr>
                  </w:pPr>
                  <w:r>
                    <w:rPr>
                      <w:rFonts w:hint="eastAsia" w:ascii="宋体" w:hAnsi="宋体" w:cs="宋体"/>
                      <w:kern w:val="0"/>
                      <w:sz w:val="18"/>
                      <w:szCs w:val="18"/>
                    </w:rPr>
                    <w:t>用地、用矿市场秩序不断规范，新增违法案件数</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减少</w:t>
                  </w:r>
                </w:p>
              </w:tc>
            </w:tr>
            <w:tr>
              <w:tblPrEx>
                <w:tblCellMar>
                  <w:top w:w="0" w:type="dxa"/>
                  <w:left w:w="108" w:type="dxa"/>
                  <w:bottom w:w="0" w:type="dxa"/>
                  <w:right w:w="108" w:type="dxa"/>
                </w:tblCellMar>
              </w:tblPrEx>
              <w:trPr>
                <w:gridBefore w:val="1"/>
                <w:gridAfter w:val="4"/>
                <w:wBefore w:w="851" w:type="dxa"/>
                <w:wAfter w:w="2534" w:type="dxa"/>
                <w:trHeight w:val="480" w:hRule="atLeast"/>
              </w:trPr>
              <w:tc>
                <w:tcPr>
                  <w:tcW w:w="1134"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3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5103" w:type="dxa"/>
                  <w:gridSpan w:val="8"/>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12336电话等平台群众接访满意度</w:t>
                  </w:r>
                </w:p>
              </w:tc>
              <w:tc>
                <w:tcPr>
                  <w:tcW w:w="600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Pr>
              <w:widowControl/>
              <w:outlineLvl w:val="1"/>
              <w:rPr>
                <w:rFonts w:ascii="宋体" w:hAnsi="宋体" w:cs="宋体"/>
                <w:b/>
                <w:bCs/>
                <w:kern w:val="0"/>
                <w:sz w:val="32"/>
                <w:szCs w:val="32"/>
              </w:rPr>
            </w:pPr>
          </w:p>
        </w:tc>
      </w:tr>
      <w:tr>
        <w:tblPrEx>
          <w:tblCellMar>
            <w:top w:w="0" w:type="dxa"/>
            <w:left w:w="108" w:type="dxa"/>
            <w:bottom w:w="0" w:type="dxa"/>
            <w:right w:w="108" w:type="dxa"/>
          </w:tblCellMar>
        </w:tblPrEx>
        <w:trPr>
          <w:trHeight w:val="95" w:hRule="atLeast"/>
        </w:trPr>
        <w:tc>
          <w:tcPr>
            <w:tcW w:w="6580"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2409"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2162"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1610"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445"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445"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2723"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351"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3218"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351"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c>
          <w:tcPr>
            <w:tcW w:w="351" w:type="dxa"/>
            <w:tcBorders>
              <w:top w:val="nil"/>
              <w:left w:val="nil"/>
              <w:bottom w:val="nil"/>
              <w:right w:val="nil"/>
            </w:tcBorders>
            <w:shd w:val="clear" w:color="auto" w:fill="auto"/>
            <w:noWrap/>
            <w:vAlign w:val="bottom"/>
          </w:tcPr>
          <w:p>
            <w:pPr>
              <w:widowControl/>
              <w:jc w:val="left"/>
              <w:rPr>
                <w:rFonts w:ascii="宋体" w:hAnsi="宋体" w:cs="宋体"/>
                <w:color w:val="000000"/>
                <w:kern w:val="0"/>
                <w:sz w:val="22"/>
              </w:rPr>
            </w:pPr>
          </w:p>
        </w:tc>
      </w:tr>
    </w:tbl>
    <w:p>
      <w:pPr>
        <w:widowControl/>
        <w:spacing w:line="520" w:lineRule="exact"/>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w:t>
      </w: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beforeLines="50" w:line="520" w:lineRule="exact"/>
        <w:jc w:val="center"/>
        <w:outlineLvl w:val="1"/>
        <w:rPr>
          <w:rFonts w:ascii="黑体" w:hAnsi="黑体" w:eastAsia="黑体"/>
          <w:kern w:val="0"/>
          <w:sz w:val="32"/>
          <w:szCs w:val="32"/>
        </w:rPr>
      </w:pPr>
    </w:p>
    <w:p>
      <w:pPr>
        <w:widowControl/>
        <w:spacing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指由一般公共预算、政府性基金预算安排的财政拨款数。</w:t>
      </w:r>
    </w:p>
    <w:p>
      <w:pPr>
        <w:spacing w:line="52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rPr>
        <w:t>三、财政专户管理资金：</w:t>
      </w:r>
      <w:r>
        <w:rPr>
          <w:rFonts w:hint="eastAsia" w:ascii="仿宋_GB2312" w:eastAsia="仿宋_GB2312"/>
          <w:sz w:val="32"/>
          <w:szCs w:val="32"/>
        </w:rPr>
        <w:t>包括专户管理行政事业性收费（主要是教育收费）、其他非税收入。</w:t>
      </w:r>
    </w:p>
    <w:p>
      <w:pPr>
        <w:spacing w:line="520" w:lineRule="exact"/>
        <w:ind w:firstLine="642"/>
        <w:rPr>
          <w:rFonts w:ascii="仿宋_GB2312" w:eastAsia="仿宋_GB2312"/>
          <w:sz w:val="32"/>
          <w:szCs w:val="32"/>
        </w:rPr>
      </w:pPr>
      <w:r>
        <w:rPr>
          <w:rFonts w:hint="eastAsia" w:ascii="黑体" w:hAnsi="黑体" w:eastAsia="黑体"/>
          <w:sz w:val="32"/>
          <w:szCs w:val="32"/>
        </w:rPr>
        <w:t>四、其他资金：</w:t>
      </w:r>
      <w:r>
        <w:rPr>
          <w:rFonts w:hint="eastAsia" w:ascii="仿宋_GB2312" w:eastAsia="仿宋_GB2312"/>
          <w:sz w:val="32"/>
          <w:szCs w:val="32"/>
        </w:rPr>
        <w:t>包括事业收入、经营收入、其他收入等。</w:t>
      </w:r>
    </w:p>
    <w:p>
      <w:pPr>
        <w:spacing w:line="520" w:lineRule="exact"/>
        <w:ind w:firstLine="642"/>
        <w:rPr>
          <w:rFonts w:ascii="仿宋_GB2312" w:eastAsia="仿宋_GB2312"/>
          <w:sz w:val="32"/>
          <w:szCs w:val="32"/>
        </w:rPr>
      </w:pPr>
      <w:r>
        <w:rPr>
          <w:rFonts w:hint="eastAsia" w:ascii="黑体" w:hAnsi="黑体" w:eastAsia="黑体"/>
          <w:sz w:val="32"/>
          <w:szCs w:val="32"/>
        </w:rPr>
        <w:t>五、基本支出：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rPr>
        <w:t>六、项目支出：</w:t>
      </w:r>
      <w:r>
        <w:rPr>
          <w:rFonts w:hint="eastAsia" w:ascii="仿宋_GB2312" w:eastAsia="仿宋_GB2312"/>
          <w:sz w:val="32"/>
          <w:szCs w:val="32"/>
        </w:rPr>
        <w:t>部门支出预算的组成部分，是自治区本级部门为完成其特定的行政任务或事业发展目标，在基本支出预算之外编制的年度项目支出计划。</w:t>
      </w:r>
    </w:p>
    <w:p>
      <w:pPr>
        <w:spacing w:line="520" w:lineRule="exact"/>
        <w:ind w:firstLine="642"/>
        <w:rPr>
          <w:rFonts w:ascii="仿宋_GB2312" w:eastAsia="仿宋_GB2312"/>
          <w:sz w:val="32"/>
          <w:szCs w:val="32"/>
        </w:rPr>
      </w:pPr>
      <w:r>
        <w:rPr>
          <w:rFonts w:hint="eastAsia" w:ascii="黑体" w:hAnsi="黑体" w:eastAsia="黑体"/>
          <w:sz w:val="32"/>
          <w:szCs w:val="32"/>
        </w:rPr>
        <w:t>七、“三公”经费：</w:t>
      </w:r>
      <w:r>
        <w:rPr>
          <w:rFonts w:hint="eastAsia" w:ascii="仿宋_GB2312" w:eastAsia="仿宋_GB2312"/>
          <w:sz w:val="32"/>
          <w:szCs w:val="32"/>
        </w:rPr>
        <w:t>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20" w:lineRule="exact"/>
        <w:ind w:firstLine="642"/>
        <w:rPr>
          <w:rFonts w:ascii="仿宋_GB2312" w:eastAsia="仿宋_GB2312"/>
          <w:sz w:val="32"/>
          <w:szCs w:val="32"/>
        </w:rPr>
      </w:pPr>
      <w:r>
        <w:rPr>
          <w:rFonts w:hint="eastAsia" w:ascii="黑体" w:hAnsi="黑体" w:eastAsia="黑体"/>
          <w:sz w:val="32"/>
          <w:szCs w:val="32"/>
        </w:rPr>
        <w:t>八、机关运行经费：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640"/>
        <w:rPr>
          <w:rFonts w:ascii="仿宋_GB2312" w:eastAsia="仿宋_GB2312"/>
          <w:b/>
          <w:szCs w:val="20"/>
        </w:rPr>
      </w:pPr>
      <w:r>
        <w:rPr>
          <w:rFonts w:hint="eastAsia" w:ascii="仿宋_GB2312" w:eastAsia="仿宋_GB2312"/>
          <w:b/>
          <w:sz w:val="32"/>
          <w:szCs w:val="32"/>
        </w:rPr>
        <w:t>（各部门单位应根据部门预算公开表中对应的经费情况进行名词解释，对未涉及的名词应删除）</w:t>
      </w: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hint="eastAsia" w:ascii="仿宋_GB2312" w:hAnsi="宋体" w:eastAsia="仿宋_GB2312" w:cs="宋体"/>
          <w:kern w:val="0"/>
          <w:sz w:val="32"/>
          <w:szCs w:val="32"/>
        </w:rPr>
      </w:pPr>
    </w:p>
    <w:p>
      <w:pPr>
        <w:widowControl/>
        <w:spacing w:line="520" w:lineRule="exact"/>
        <w:jc w:val="left"/>
        <w:rPr>
          <w:rFonts w:hint="eastAsia" w:ascii="仿宋_GB2312" w:hAnsi="宋体" w:eastAsia="仿宋_GB2312" w:cs="宋体"/>
          <w:kern w:val="0"/>
          <w:sz w:val="32"/>
          <w:szCs w:val="32"/>
        </w:rPr>
      </w:pPr>
    </w:p>
    <w:p>
      <w:pPr>
        <w:widowControl/>
        <w:spacing w:line="520" w:lineRule="exact"/>
        <w:jc w:val="left"/>
        <w:rPr>
          <w:rFonts w:hint="eastAsia" w:ascii="仿宋_GB2312" w:hAnsi="宋体" w:eastAsia="仿宋_GB2312" w:cs="宋体"/>
          <w:kern w:val="0"/>
          <w:sz w:val="32"/>
          <w:szCs w:val="32"/>
        </w:rPr>
      </w:pPr>
    </w:p>
    <w:p>
      <w:pPr>
        <w:widowControl/>
        <w:spacing w:line="520" w:lineRule="exact"/>
        <w:ind w:firstLine="6880" w:firstLineChars="2150"/>
        <w:jc w:val="left"/>
        <w:rPr>
          <w:rFonts w:ascii="仿宋_GB2312" w:hAnsi="宋体" w:eastAsia="仿宋_GB2312" w:cs="宋体"/>
          <w:kern w:val="0"/>
          <w:sz w:val="32"/>
          <w:szCs w:val="32"/>
        </w:rPr>
      </w:pPr>
      <w:r>
        <w:rPr>
          <w:rFonts w:hint="eastAsia" w:ascii="仿宋_GB2312" w:hAnsi="宋体" w:eastAsia="仿宋_GB2312" w:cs="宋体"/>
          <w:kern w:val="0"/>
          <w:sz w:val="32"/>
          <w:szCs w:val="32"/>
        </w:rPr>
        <w:t>自治区国土资源执法监察总队</w:t>
      </w:r>
    </w:p>
    <w:p>
      <w:pPr>
        <w:ind w:left="3680" w:hanging="3680" w:hangingChars="1150"/>
        <w:sectPr>
          <w:pgSz w:w="16838" w:h="11906" w:orient="landscape"/>
          <w:pgMar w:top="1135" w:right="1440" w:bottom="1797" w:left="1440" w:header="851" w:footer="992" w:gutter="0"/>
          <w:pgNumType w:fmt="numberInDash" w:start="32"/>
          <w:cols w:space="425" w:num="1"/>
          <w:docGrid w:type="lines" w:linePitch="312" w:charSpace="0"/>
        </w:sectPr>
      </w:pPr>
      <w:r>
        <w:rPr>
          <w:rFonts w:hint="eastAsia" w:ascii="仿宋_GB2312" w:hAnsi="宋体" w:eastAsia="仿宋_GB2312" w:cs="宋体"/>
          <w:kern w:val="0"/>
          <w:sz w:val="32"/>
          <w:szCs w:val="32"/>
        </w:rPr>
        <w:t xml:space="preserve">                                              2020 </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1  </w:t>
      </w:r>
      <w:r>
        <w:rPr>
          <w:rFonts w:ascii="仿宋_GB2312" w:hAnsi="宋体" w:eastAsia="仿宋_GB2312" w:cs="宋体"/>
          <w:kern w:val="0"/>
          <w:sz w:val="32"/>
          <w:szCs w:val="32"/>
        </w:rPr>
        <w:t>月</w:t>
      </w:r>
      <w:r>
        <w:rPr>
          <w:rFonts w:hint="eastAsia" w:ascii="仿宋_GB2312" w:hAnsi="宋体" w:eastAsia="仿宋_GB2312" w:cs="宋体"/>
          <w:kern w:val="0"/>
          <w:sz w:val="32"/>
          <w:szCs w:val="32"/>
        </w:rPr>
        <w:t xml:space="preserve"> 17日</w:t>
      </w:r>
    </w:p>
    <w:p>
      <w:pPr>
        <w:widowControl/>
        <w:spacing w:line="520" w:lineRule="exact"/>
        <w:jc w:val="left"/>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140"/>
      <w:jc w:val="right"/>
      <w:rPr>
        <w:rFonts w:ascii="宋体" w:hAnsi="宋体" w:eastAsia="宋体"/>
        <w:sz w:val="28"/>
        <w:szCs w:val="28"/>
      </w:rP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BF46A2"/>
    <w:multiLevelType w:val="multilevel"/>
    <w:tmpl w:val="55BF46A2"/>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EyMTVkYzU0ZDg0NjQ1OWU0ZDM3MDI5NmQ1Y2JkMWUifQ=="/>
  </w:docVars>
  <w:rsids>
    <w:rsidRoot w:val="00C23653"/>
    <w:rsid w:val="00053472"/>
    <w:rsid w:val="00056D30"/>
    <w:rsid w:val="00091E69"/>
    <w:rsid w:val="00116DE7"/>
    <w:rsid w:val="00143CC9"/>
    <w:rsid w:val="00152829"/>
    <w:rsid w:val="00160399"/>
    <w:rsid w:val="00163DAC"/>
    <w:rsid w:val="00192596"/>
    <w:rsid w:val="001B1BD9"/>
    <w:rsid w:val="001D0E0E"/>
    <w:rsid w:val="00202027"/>
    <w:rsid w:val="0022374A"/>
    <w:rsid w:val="00224E2C"/>
    <w:rsid w:val="002331E5"/>
    <w:rsid w:val="00236D58"/>
    <w:rsid w:val="002553A3"/>
    <w:rsid w:val="00274344"/>
    <w:rsid w:val="002853DD"/>
    <w:rsid w:val="0029401C"/>
    <w:rsid w:val="00294297"/>
    <w:rsid w:val="002A25A9"/>
    <w:rsid w:val="002A7C2D"/>
    <w:rsid w:val="002C0327"/>
    <w:rsid w:val="002E2F8F"/>
    <w:rsid w:val="002F1B3E"/>
    <w:rsid w:val="003159A7"/>
    <w:rsid w:val="003435E5"/>
    <w:rsid w:val="00371063"/>
    <w:rsid w:val="003A542F"/>
    <w:rsid w:val="003D520D"/>
    <w:rsid w:val="00407E3C"/>
    <w:rsid w:val="0043329A"/>
    <w:rsid w:val="00440338"/>
    <w:rsid w:val="00456B50"/>
    <w:rsid w:val="00497322"/>
    <w:rsid w:val="004B08B0"/>
    <w:rsid w:val="004C0CA2"/>
    <w:rsid w:val="004C6D59"/>
    <w:rsid w:val="004E3C6D"/>
    <w:rsid w:val="004F1E9F"/>
    <w:rsid w:val="004F27D4"/>
    <w:rsid w:val="00500ED1"/>
    <w:rsid w:val="0050345D"/>
    <w:rsid w:val="005301EB"/>
    <w:rsid w:val="005572FE"/>
    <w:rsid w:val="00560292"/>
    <w:rsid w:val="005665D5"/>
    <w:rsid w:val="00566DA4"/>
    <w:rsid w:val="005735B0"/>
    <w:rsid w:val="005748DB"/>
    <w:rsid w:val="00587C06"/>
    <w:rsid w:val="005952B6"/>
    <w:rsid w:val="005E34E8"/>
    <w:rsid w:val="005F003A"/>
    <w:rsid w:val="006366A5"/>
    <w:rsid w:val="006536AD"/>
    <w:rsid w:val="0068187A"/>
    <w:rsid w:val="006B00B1"/>
    <w:rsid w:val="006C40C9"/>
    <w:rsid w:val="006C6C1F"/>
    <w:rsid w:val="006D0716"/>
    <w:rsid w:val="006D2ABC"/>
    <w:rsid w:val="007207A9"/>
    <w:rsid w:val="007307AB"/>
    <w:rsid w:val="00755697"/>
    <w:rsid w:val="00771822"/>
    <w:rsid w:val="00793A42"/>
    <w:rsid w:val="007F248F"/>
    <w:rsid w:val="00835368"/>
    <w:rsid w:val="008408C7"/>
    <w:rsid w:val="00866166"/>
    <w:rsid w:val="0087490F"/>
    <w:rsid w:val="008853CC"/>
    <w:rsid w:val="008E16B3"/>
    <w:rsid w:val="008F4968"/>
    <w:rsid w:val="00901A19"/>
    <w:rsid w:val="00930561"/>
    <w:rsid w:val="009427DB"/>
    <w:rsid w:val="00952EDF"/>
    <w:rsid w:val="00957A7D"/>
    <w:rsid w:val="00957FAA"/>
    <w:rsid w:val="00961A95"/>
    <w:rsid w:val="00994EA1"/>
    <w:rsid w:val="009A6F4E"/>
    <w:rsid w:val="009A7797"/>
    <w:rsid w:val="009B15F5"/>
    <w:rsid w:val="009C6CB1"/>
    <w:rsid w:val="00A02BE4"/>
    <w:rsid w:val="00A02ECE"/>
    <w:rsid w:val="00A077C6"/>
    <w:rsid w:val="00A73C2D"/>
    <w:rsid w:val="00AB606C"/>
    <w:rsid w:val="00AD1123"/>
    <w:rsid w:val="00AF5D45"/>
    <w:rsid w:val="00B20DE7"/>
    <w:rsid w:val="00B24134"/>
    <w:rsid w:val="00B52B94"/>
    <w:rsid w:val="00BA3AD9"/>
    <w:rsid w:val="00BA77A9"/>
    <w:rsid w:val="00BE12C4"/>
    <w:rsid w:val="00BF1090"/>
    <w:rsid w:val="00C00F01"/>
    <w:rsid w:val="00C0675B"/>
    <w:rsid w:val="00C152DF"/>
    <w:rsid w:val="00C23653"/>
    <w:rsid w:val="00C25BCD"/>
    <w:rsid w:val="00C44E52"/>
    <w:rsid w:val="00C6343E"/>
    <w:rsid w:val="00CA72E1"/>
    <w:rsid w:val="00CC081E"/>
    <w:rsid w:val="00D135BD"/>
    <w:rsid w:val="00D26BD1"/>
    <w:rsid w:val="00D33010"/>
    <w:rsid w:val="00D37185"/>
    <w:rsid w:val="00D47BB3"/>
    <w:rsid w:val="00D53519"/>
    <w:rsid w:val="00D55A85"/>
    <w:rsid w:val="00D60F17"/>
    <w:rsid w:val="00D64045"/>
    <w:rsid w:val="00D72E7B"/>
    <w:rsid w:val="00D761BE"/>
    <w:rsid w:val="00DB2267"/>
    <w:rsid w:val="00E03475"/>
    <w:rsid w:val="00E1399C"/>
    <w:rsid w:val="00E41EF6"/>
    <w:rsid w:val="00E431C4"/>
    <w:rsid w:val="00F2132B"/>
    <w:rsid w:val="00F24D6F"/>
    <w:rsid w:val="00F56112"/>
    <w:rsid w:val="00F6272A"/>
    <w:rsid w:val="00F66F2D"/>
    <w:rsid w:val="00F802F9"/>
    <w:rsid w:val="00FA3934"/>
    <w:rsid w:val="00FB08D7"/>
    <w:rsid w:val="00FD3712"/>
    <w:rsid w:val="00FD7203"/>
    <w:rsid w:val="34AE7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iPriority w:val="0"/>
    <w:rPr>
      <w:sz w:val="18"/>
      <w:szCs w:val="18"/>
    </w:rPr>
  </w:style>
  <w:style w:type="paragraph" w:styleId="3">
    <w:name w:val="footer"/>
    <w:basedOn w:val="1"/>
    <w:link w:val="12"/>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6"/>
    <w:uiPriority w:val="0"/>
    <w:pPr>
      <w:pBdr>
        <w:top w:val="single" w:color="auto" w:sz="12" w:space="1"/>
        <w:bottom w:val="single" w:color="auto" w:sz="12" w:space="1"/>
      </w:pBdr>
      <w:spacing w:line="600" w:lineRule="exact"/>
      <w:ind w:left="1280" w:hanging="1280" w:hangingChars="400"/>
    </w:pPr>
    <w:rPr>
      <w:rFonts w:eastAsia="仿宋_GB2312"/>
      <w:sz w:val="32"/>
    </w:rPr>
  </w:style>
  <w:style w:type="paragraph" w:styleId="6">
    <w:name w:val="Normal (Web)"/>
    <w:basedOn w:val="1"/>
    <w:unhideWhenUsed/>
    <w:uiPriority w:val="0"/>
    <w:pPr>
      <w:widowControl/>
      <w:spacing w:before="100" w:beforeAutospacing="1" w:after="100" w:afterAutospacing="1"/>
      <w:jc w:val="left"/>
    </w:pPr>
    <w:rPr>
      <w:rFonts w:ascii="宋体" w:hAnsi="宋体" w:cs="宋体"/>
      <w:kern w:val="0"/>
      <w:sz w:val="24"/>
    </w:rPr>
  </w:style>
  <w:style w:type="table" w:styleId="8">
    <w:name w:val="Table Grid"/>
    <w:basedOn w:val="7"/>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rFonts w:cs="Times New Roman"/>
      <w:b/>
      <w:bCs/>
    </w:rPr>
  </w:style>
  <w:style w:type="character" w:styleId="11">
    <w:name w:val="page number"/>
    <w:basedOn w:val="9"/>
    <w:uiPriority w:val="0"/>
  </w:style>
  <w:style w:type="character" w:customStyle="1" w:styleId="12">
    <w:name w:val="页脚 Char"/>
    <w:basedOn w:val="9"/>
    <w:link w:val="3"/>
    <w:uiPriority w:val="99"/>
    <w:rPr>
      <w:rFonts w:ascii="Times New Roman" w:hAnsi="Times New Roman" w:eastAsia="黑体" w:cs="Times New Roman"/>
      <w:snapToGrid w:val="0"/>
      <w:kern w:val="0"/>
      <w:sz w:val="18"/>
      <w:szCs w:val="18"/>
    </w:rPr>
  </w:style>
  <w:style w:type="paragraph" w:customStyle="1" w:styleId="13">
    <w:name w:val="f1"/>
    <w:basedOn w:val="1"/>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character" w:customStyle="1" w:styleId="14">
    <w:name w:val="批注框文本 Char"/>
    <w:basedOn w:val="9"/>
    <w:link w:val="2"/>
    <w:semiHidden/>
    <w:uiPriority w:val="0"/>
    <w:rPr>
      <w:rFonts w:ascii="Times New Roman" w:hAnsi="Times New Roman" w:eastAsia="宋体" w:cs="Times New Roman"/>
      <w:sz w:val="18"/>
      <w:szCs w:val="18"/>
    </w:rPr>
  </w:style>
  <w:style w:type="character" w:customStyle="1" w:styleId="15">
    <w:name w:val="页眉 Char"/>
    <w:basedOn w:val="9"/>
    <w:link w:val="4"/>
    <w:uiPriority w:val="0"/>
    <w:rPr>
      <w:rFonts w:ascii="Times New Roman" w:hAnsi="Times New Roman" w:eastAsia="宋体" w:cs="Times New Roman"/>
      <w:sz w:val="18"/>
      <w:szCs w:val="18"/>
    </w:rPr>
  </w:style>
  <w:style w:type="character" w:customStyle="1" w:styleId="16">
    <w:name w:val="正文文本缩进 3 Char"/>
    <w:basedOn w:val="9"/>
    <w:link w:val="5"/>
    <w:uiPriority w:val="0"/>
    <w:rPr>
      <w:rFonts w:ascii="Times New Roman" w:hAnsi="Times New Roman" w:eastAsia="仿宋_GB2312" w:cs="Times New Roman"/>
      <w:sz w:val="32"/>
      <w:szCs w:val="24"/>
    </w:rPr>
  </w:style>
  <w:style w:type="paragraph" w:styleId="17">
    <w:name w:val="List Paragraph"/>
    <w:basedOn w:val="1"/>
    <w:qFormat/>
    <w:uiPriority w:val="34"/>
    <w:pPr>
      <w:ind w:firstLine="420" w:firstLineChars="200"/>
    </w:pPr>
    <w:rPr>
      <w:rFonts w:ascii="Calibri" w:hAnsi="Calibri"/>
      <w:szCs w:val="22"/>
    </w:rPr>
  </w:style>
  <w:style w:type="paragraph" w:customStyle="1" w:styleId="18">
    <w:name w:val="普通(网站)1"/>
    <w:basedOn w:val="1"/>
    <w:uiPriority w:val="0"/>
    <w:rPr>
      <w:rFonts w:ascii="Calibri" w:hAnsi="Calibri" w:cs="黑体"/>
      <w:sz w:val="24"/>
    </w:rPr>
  </w:style>
  <w:style w:type="paragraph" w:customStyle="1" w:styleId="19">
    <w:name w:val="普通(网站)2"/>
    <w:basedOn w:val="1"/>
    <w:uiPriority w:val="0"/>
    <w:rPr>
      <w:rFonts w:ascii="Calibri" w:hAnsi="Calibri" w:cs="黑体"/>
      <w:sz w:val="24"/>
    </w:rPr>
  </w:style>
  <w:style w:type="paragraph" w:customStyle="1" w:styleId="20">
    <w:name w:val="普通(网站)3"/>
    <w:basedOn w:val="1"/>
    <w:uiPriority w:val="0"/>
    <w:rPr>
      <w:rFonts w:ascii="Calibri" w:hAnsi="Calibri" w:cs="黑体"/>
      <w:sz w:val="24"/>
    </w:rPr>
  </w:style>
  <w:style w:type="paragraph" w:styleId="21">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9C28B7-0ED1-428D-9166-39D10E144E4F}">
  <ds:schemaRefs/>
</ds:datastoreItem>
</file>

<file path=docProps/app.xml><?xml version="1.0" encoding="utf-8"?>
<Properties xmlns="http://schemas.openxmlformats.org/officeDocument/2006/extended-properties" xmlns:vt="http://schemas.openxmlformats.org/officeDocument/2006/docPropsVTypes">
  <Template>Normal</Template>
  <Pages>36</Pages>
  <Words>12452</Words>
  <Characters>14507</Characters>
  <Lines>135</Lines>
  <Paragraphs>38</Paragraphs>
  <TotalTime>883</TotalTime>
  <ScaleCrop>false</ScaleCrop>
  <LinksUpToDate>false</LinksUpToDate>
  <CharactersWithSpaces>15889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2020-01-17T03:52:00Z</dcterms:created>
  <dc:creator>Administrator</dc:creator>
  <cp:lastModifiedBy>悦己</cp:lastModifiedBy>
  <cp:lastPrinted>2020-01-19T12:35:00Z</cp:lastPrinted>
  <dcterms:modified xsi:type="dcterms:W3CDTF">2024-08-12T09:32:41Z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AA306F5E750E45D4BB697661A65DA90F_12</vt:lpwstr>
  </property>
</Properties>
</file>