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3693A">
      <w:pPr>
        <w:spacing w:line="570" w:lineRule="exact"/>
        <w:jc w:val="both"/>
        <w:rPr>
          <w:rFonts w:hint="eastAsia" w:ascii="仿宋" w:hAnsi="仿宋" w:eastAsia="仿宋" w:cs="仿宋"/>
          <w:b w:val="0"/>
          <w:bCs/>
          <w:kern w:val="0"/>
          <w:sz w:val="32"/>
          <w:szCs w:val="32"/>
        </w:rPr>
      </w:pPr>
    </w:p>
    <w:p w14:paraId="07D76BED">
      <w:pPr>
        <w:spacing w:line="570" w:lineRule="exact"/>
        <w:jc w:val="both"/>
        <w:rPr>
          <w:rFonts w:hint="eastAsia" w:ascii="仿宋" w:hAnsi="仿宋" w:eastAsia="仿宋" w:cs="仿宋"/>
          <w:b w:val="0"/>
          <w:bCs/>
          <w:kern w:val="0"/>
          <w:sz w:val="32"/>
          <w:szCs w:val="32"/>
        </w:rPr>
      </w:pPr>
    </w:p>
    <w:p w14:paraId="0BF386B1">
      <w:pPr>
        <w:spacing w:line="570" w:lineRule="exact"/>
        <w:jc w:val="both"/>
        <w:rPr>
          <w:rFonts w:hint="eastAsia" w:ascii="仿宋" w:hAnsi="仿宋" w:eastAsia="仿宋" w:cs="仿宋"/>
          <w:b w:val="0"/>
          <w:bCs/>
          <w:kern w:val="0"/>
          <w:sz w:val="32"/>
          <w:szCs w:val="32"/>
        </w:rPr>
      </w:pPr>
    </w:p>
    <w:p w14:paraId="7DA3C0FD">
      <w:pPr>
        <w:spacing w:line="570" w:lineRule="exact"/>
        <w:jc w:val="both"/>
        <w:rPr>
          <w:rFonts w:hint="eastAsia" w:ascii="仿宋" w:hAnsi="仿宋" w:eastAsia="仿宋" w:cs="仿宋"/>
          <w:b w:val="0"/>
          <w:bCs/>
          <w:kern w:val="0"/>
          <w:sz w:val="32"/>
          <w:szCs w:val="32"/>
        </w:rPr>
      </w:pPr>
    </w:p>
    <w:p w14:paraId="4A3CF82A">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小标宋" w:hAnsi="小标宋" w:eastAsia="小标宋" w:cs="小标宋"/>
          <w:b w:val="0"/>
          <w:bCs/>
          <w:kern w:val="0"/>
          <w:sz w:val="44"/>
          <w:szCs w:val="44"/>
        </w:rPr>
      </w:pPr>
      <w:r>
        <w:rPr>
          <w:rFonts w:hint="eastAsia" w:ascii="仿宋" w:hAnsi="仿宋" w:eastAsia="仿宋" w:cs="仿宋"/>
          <w:b/>
          <w:sz w:val="36"/>
          <w:szCs w:val="36"/>
          <w:highlight w:val="none"/>
          <w:lang w:val="en-US" w:eastAsia="zh-CN"/>
        </w:rPr>
        <w:t>项目支出绩效自评报告</w:t>
      </w:r>
    </w:p>
    <w:p w14:paraId="4F42C5AC">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14:paraId="3AD36816">
      <w:pPr>
        <w:spacing w:line="570" w:lineRule="exact"/>
        <w:jc w:val="center"/>
        <w:rPr>
          <w:rFonts w:hint="eastAsia" w:ascii="仿宋" w:hAnsi="仿宋" w:eastAsia="仿宋" w:cs="仿宋"/>
          <w:b w:val="0"/>
          <w:bCs/>
          <w:kern w:val="0"/>
          <w:sz w:val="32"/>
          <w:szCs w:val="32"/>
        </w:rPr>
      </w:pPr>
    </w:p>
    <w:p w14:paraId="18932A6A">
      <w:pPr>
        <w:spacing w:line="570" w:lineRule="exact"/>
        <w:jc w:val="center"/>
        <w:rPr>
          <w:rFonts w:hint="eastAsia" w:ascii="仿宋" w:hAnsi="仿宋" w:eastAsia="仿宋" w:cs="仿宋"/>
          <w:b w:val="0"/>
          <w:bCs/>
          <w:kern w:val="0"/>
          <w:sz w:val="32"/>
          <w:szCs w:val="32"/>
          <w:lang w:eastAsia="zh-CN"/>
        </w:rPr>
      </w:pPr>
    </w:p>
    <w:p w14:paraId="6E7F0EA7">
      <w:pPr>
        <w:spacing w:line="570" w:lineRule="exact"/>
        <w:jc w:val="center"/>
        <w:rPr>
          <w:rFonts w:hint="eastAsia" w:ascii="仿宋" w:hAnsi="仿宋" w:eastAsia="仿宋" w:cs="仿宋"/>
          <w:b w:val="0"/>
          <w:bCs/>
          <w:kern w:val="0"/>
          <w:sz w:val="32"/>
          <w:szCs w:val="32"/>
          <w:lang w:eastAsia="zh-CN"/>
        </w:rPr>
      </w:pPr>
    </w:p>
    <w:p w14:paraId="10AF3BF8">
      <w:pPr>
        <w:spacing w:line="570" w:lineRule="exact"/>
        <w:jc w:val="center"/>
        <w:rPr>
          <w:rFonts w:hint="eastAsia" w:ascii="仿宋" w:hAnsi="仿宋" w:eastAsia="仿宋" w:cs="仿宋"/>
          <w:b w:val="0"/>
          <w:bCs/>
          <w:kern w:val="0"/>
          <w:sz w:val="32"/>
          <w:szCs w:val="32"/>
          <w:lang w:eastAsia="zh-CN"/>
        </w:rPr>
      </w:pPr>
    </w:p>
    <w:p w14:paraId="2861043E">
      <w:pPr>
        <w:spacing w:line="570" w:lineRule="exact"/>
        <w:jc w:val="center"/>
        <w:rPr>
          <w:rFonts w:hint="eastAsia" w:ascii="仿宋" w:hAnsi="仿宋" w:eastAsia="仿宋" w:cs="仿宋"/>
          <w:b w:val="0"/>
          <w:bCs/>
          <w:kern w:val="0"/>
          <w:sz w:val="32"/>
          <w:szCs w:val="32"/>
          <w:lang w:eastAsia="zh-CN"/>
        </w:rPr>
      </w:pPr>
    </w:p>
    <w:p w14:paraId="7553F997">
      <w:pPr>
        <w:spacing w:line="570" w:lineRule="exact"/>
        <w:jc w:val="center"/>
        <w:rPr>
          <w:rFonts w:hint="eastAsia" w:ascii="仿宋" w:hAnsi="仿宋" w:eastAsia="仿宋" w:cs="仿宋"/>
          <w:b w:val="0"/>
          <w:bCs/>
          <w:kern w:val="0"/>
          <w:sz w:val="32"/>
          <w:szCs w:val="32"/>
          <w:lang w:eastAsia="zh-CN"/>
        </w:rPr>
      </w:pPr>
    </w:p>
    <w:p w14:paraId="5B9DFEE4">
      <w:pPr>
        <w:spacing w:line="570" w:lineRule="exact"/>
        <w:jc w:val="both"/>
        <w:rPr>
          <w:rFonts w:hint="eastAsia" w:ascii="仿宋" w:hAnsi="仿宋" w:eastAsia="仿宋" w:cs="仿宋"/>
          <w:b w:val="0"/>
          <w:bCs/>
          <w:kern w:val="0"/>
          <w:sz w:val="32"/>
          <w:szCs w:val="32"/>
          <w:lang w:eastAsia="zh-CN"/>
        </w:rPr>
      </w:pPr>
    </w:p>
    <w:p w14:paraId="34E5744B">
      <w:pPr>
        <w:spacing w:line="570" w:lineRule="exact"/>
        <w:jc w:val="center"/>
        <w:rPr>
          <w:rFonts w:hint="eastAsia" w:ascii="仿宋" w:hAnsi="仿宋" w:eastAsia="仿宋" w:cs="仿宋"/>
          <w:b w:val="0"/>
          <w:bCs/>
          <w:kern w:val="0"/>
          <w:sz w:val="32"/>
          <w:szCs w:val="32"/>
          <w:lang w:eastAsia="zh-CN"/>
        </w:rPr>
      </w:pPr>
    </w:p>
    <w:p w14:paraId="76745AD8">
      <w:pPr>
        <w:spacing w:line="570" w:lineRule="exact"/>
        <w:jc w:val="both"/>
        <w:rPr>
          <w:rFonts w:hint="eastAsia" w:ascii="仿宋" w:hAnsi="仿宋" w:eastAsia="仿宋" w:cs="仿宋"/>
          <w:b w:val="0"/>
          <w:bCs/>
          <w:kern w:val="0"/>
          <w:sz w:val="32"/>
          <w:szCs w:val="32"/>
          <w:lang w:eastAsia="zh-CN"/>
        </w:rPr>
      </w:pPr>
    </w:p>
    <w:p w14:paraId="66A19B45">
      <w:pPr>
        <w:spacing w:line="700" w:lineRule="exact"/>
        <w:ind w:firstLine="960" w:firstLineChars="300"/>
        <w:jc w:val="left"/>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Style w:val="21"/>
          <w:rFonts w:hint="eastAsia" w:ascii="仿宋" w:hAnsi="仿宋" w:eastAsia="仿宋" w:cs="仿宋"/>
          <w:b w:val="0"/>
          <w:bCs/>
          <w:spacing w:val="-4"/>
          <w:sz w:val="32"/>
          <w:szCs w:val="32"/>
          <w:lang w:val="en-US" w:eastAsia="zh-CN"/>
        </w:rPr>
        <w:t>新疆地质市场经营</w:t>
      </w:r>
      <w:r>
        <w:rPr>
          <w:rStyle w:val="21"/>
          <w:rFonts w:hint="eastAsia" w:ascii="仿宋" w:hAnsi="仿宋" w:eastAsia="仿宋" w:cs="仿宋"/>
          <w:b w:val="0"/>
          <w:bCs/>
          <w:spacing w:val="-4"/>
          <w:sz w:val="32"/>
          <w:szCs w:val="32"/>
          <w:lang w:eastAsia="zh-CN"/>
        </w:rPr>
        <w:t>项目</w:t>
      </w:r>
    </w:p>
    <w:p w14:paraId="69E92B59">
      <w:pPr>
        <w:spacing w:line="570" w:lineRule="exact"/>
        <w:ind w:left="3198" w:leftChars="456" w:hanging="2240" w:hangingChars="700"/>
        <w:jc w:val="left"/>
        <w:rPr>
          <w:rStyle w:val="21"/>
          <w:rFonts w:hint="default"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实施单位：</w:t>
      </w:r>
      <w:r>
        <w:rPr>
          <w:rFonts w:hint="eastAsia" w:ascii="仿宋" w:hAnsi="仿宋" w:eastAsia="仿宋" w:cs="仿宋"/>
          <w:b w:val="0"/>
          <w:bCs/>
          <w:kern w:val="0"/>
          <w:sz w:val="32"/>
          <w:szCs w:val="32"/>
          <w:lang w:val="en-US" w:eastAsia="zh-CN"/>
        </w:rPr>
        <w:t>新疆维吾尔自治区地质环境监测院</w:t>
      </w:r>
    </w:p>
    <w:p w14:paraId="57694BBD">
      <w:pPr>
        <w:spacing w:line="540" w:lineRule="exact"/>
        <w:ind w:firstLine="960" w:firstLineChars="300"/>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w:t>
      </w:r>
      <w:r>
        <w:rPr>
          <w:rStyle w:val="21"/>
          <w:rFonts w:hint="eastAsia" w:ascii="仿宋" w:hAnsi="仿宋" w:eastAsia="仿宋" w:cs="仿宋"/>
          <w:b w:val="0"/>
          <w:bCs/>
          <w:spacing w:val="-4"/>
          <w:sz w:val="32"/>
          <w:szCs w:val="32"/>
          <w:lang w:eastAsia="zh-CN"/>
        </w:rPr>
        <w:t>新疆维吾尔自治区自然资源厅</w:t>
      </w:r>
    </w:p>
    <w:p w14:paraId="1ADAE681">
      <w:pPr>
        <w:spacing w:line="570" w:lineRule="exact"/>
        <w:ind w:firstLine="960" w:firstLineChars="300"/>
        <w:rPr>
          <w:rStyle w:val="21"/>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项目负责人：阿地力·阿不拉</w:t>
      </w:r>
    </w:p>
    <w:p w14:paraId="7E93DDCD">
      <w:pPr>
        <w:spacing w:line="540" w:lineRule="exact"/>
        <w:ind w:firstLine="960" w:firstLineChars="300"/>
        <w:rPr>
          <w:rStyle w:val="21"/>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1"/>
          <w:rFonts w:hint="eastAsia" w:ascii="仿宋" w:hAnsi="仿宋" w:eastAsia="仿宋" w:cs="仿宋"/>
          <w:b w:val="0"/>
          <w:bCs/>
          <w:spacing w:val="-4"/>
          <w:sz w:val="32"/>
          <w:szCs w:val="32"/>
        </w:rPr>
        <w:t>202</w:t>
      </w:r>
      <w:r>
        <w:rPr>
          <w:rStyle w:val="21"/>
          <w:rFonts w:hint="eastAsia" w:ascii="仿宋" w:hAnsi="仿宋" w:eastAsia="仿宋" w:cs="仿宋"/>
          <w:b w:val="0"/>
          <w:bCs/>
          <w:spacing w:val="-4"/>
          <w:sz w:val="32"/>
          <w:szCs w:val="32"/>
          <w:lang w:val="en-US" w:eastAsia="zh-CN"/>
        </w:rPr>
        <w:t>4</w:t>
      </w:r>
      <w:r>
        <w:rPr>
          <w:rStyle w:val="21"/>
          <w:rFonts w:hint="eastAsia" w:ascii="仿宋" w:hAnsi="仿宋" w:eastAsia="仿宋" w:cs="仿宋"/>
          <w:b w:val="0"/>
          <w:bCs/>
          <w:spacing w:val="-4"/>
          <w:sz w:val="32"/>
          <w:szCs w:val="32"/>
        </w:rPr>
        <w:t>年</w:t>
      </w:r>
      <w:r>
        <w:rPr>
          <w:rStyle w:val="21"/>
          <w:rFonts w:hint="eastAsia" w:ascii="仿宋" w:hAnsi="仿宋" w:eastAsia="仿宋" w:cs="仿宋"/>
          <w:b w:val="0"/>
          <w:bCs/>
          <w:spacing w:val="-4"/>
          <w:sz w:val="32"/>
          <w:szCs w:val="32"/>
          <w:lang w:val="en-US" w:eastAsia="zh-CN"/>
        </w:rPr>
        <w:t>3</w:t>
      </w:r>
      <w:r>
        <w:rPr>
          <w:rStyle w:val="21"/>
          <w:rFonts w:hint="eastAsia" w:ascii="仿宋" w:hAnsi="仿宋" w:eastAsia="仿宋" w:cs="仿宋"/>
          <w:b w:val="0"/>
          <w:bCs/>
          <w:spacing w:val="-4"/>
          <w:sz w:val="32"/>
          <w:szCs w:val="32"/>
        </w:rPr>
        <w:t>月</w:t>
      </w:r>
      <w:r>
        <w:rPr>
          <w:rStyle w:val="21"/>
          <w:rFonts w:hint="eastAsia" w:ascii="仿宋" w:hAnsi="仿宋" w:eastAsia="仿宋" w:cs="仿宋"/>
          <w:b w:val="0"/>
          <w:bCs/>
          <w:spacing w:val="-4"/>
          <w:sz w:val="32"/>
          <w:szCs w:val="32"/>
          <w:lang w:val="en-US" w:eastAsia="zh-CN"/>
        </w:rPr>
        <w:t>15</w:t>
      </w:r>
      <w:r>
        <w:rPr>
          <w:rStyle w:val="21"/>
          <w:rFonts w:hint="eastAsia" w:ascii="仿宋" w:hAnsi="仿宋" w:eastAsia="仿宋" w:cs="仿宋"/>
          <w:b w:val="0"/>
          <w:bCs/>
          <w:spacing w:val="-4"/>
          <w:sz w:val="32"/>
          <w:szCs w:val="32"/>
        </w:rPr>
        <w:t>日</w:t>
      </w:r>
    </w:p>
    <w:p w14:paraId="1F4B6679">
      <w:pPr>
        <w:rPr>
          <w:rStyle w:val="21"/>
          <w:rFonts w:hint="eastAsia" w:ascii="仿宋" w:hAnsi="仿宋" w:eastAsia="仿宋" w:cs="仿宋"/>
          <w:b w:val="0"/>
          <w:bCs/>
          <w:spacing w:val="-4"/>
          <w:sz w:val="32"/>
          <w:szCs w:val="32"/>
        </w:rPr>
      </w:pPr>
      <w:r>
        <w:rPr>
          <w:rStyle w:val="21"/>
          <w:rFonts w:hint="eastAsia" w:ascii="仿宋" w:hAnsi="仿宋" w:eastAsia="仿宋" w:cs="仿宋"/>
          <w:b w:val="0"/>
          <w:bCs/>
          <w:spacing w:val="-4"/>
          <w:sz w:val="32"/>
          <w:szCs w:val="32"/>
        </w:rPr>
        <w:br w:type="page"/>
      </w:r>
    </w:p>
    <w:p w14:paraId="544218F4">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一、基本情况</w:t>
      </w:r>
    </w:p>
    <w:p w14:paraId="727A5209">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（一）项目概况</w:t>
      </w:r>
    </w:p>
    <w:p w14:paraId="35A0006E">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1.项目背景</w:t>
      </w:r>
    </w:p>
    <w:p w14:paraId="1DED225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本项目遵循财政部《项目支出绩效评价管理办法》（财预〔2020〕10号）和自治区财政厅《自治区财政支出绩效评价管理暂行办法》（新财预〔2018〕189号）等相关政策文件与规定，旨在评价</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color w:val="auto"/>
          <w:sz w:val="28"/>
          <w:szCs w:val="28"/>
          <w:lang w:val="en-US" w:eastAsia="zh-CN"/>
        </w:rPr>
        <w:t>项目实施前期、过程及效果，评价财政预算资金使用的效率及效益。根据我院“三定”方案职责要求，承担全区地质环境的调研、评价和监测，以及监测数据资料的汇总、分析、处理和预测预报等工作，其主要职责包括水文地质与水资源、地质灾害及国土空间修复工作的调查、监测及研究工作。作为自然资源厅所属一类事业单位，每年承担自治区财政下达的地质灾害防治、地下水动态监测和矿山生态修复等公益性项目，有效支撑了自治区自然资源系统“两统一”职责。</w:t>
      </w:r>
    </w:p>
    <w:p w14:paraId="6C611B0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14:paraId="6E72C9B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证自治区或地州自然资源主管部门组织实施的地质灾害治理工程和矿山地质环境恢复治理工程质量，控制工程工期，充分发挥治理工程投资效益，保障项目顺利实施，规范和统一治理项目资料整理，根据《新疆维吾尔自治区地质灾害防治项目管理办法（试行）》、《自治区历史遗留废弃工矿土地整治项目管理办法（试行）》等管理办法，监理工作必不可少。</w:t>
      </w:r>
    </w:p>
    <w:p w14:paraId="2387C3D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val="en-US" w:eastAsia="zh-CN"/>
        </w:rPr>
        <w:t>利用国家地下水监测工程在新疆维吾尔自治区建成的基础监测设施、数据自动采集传输存储系统以及信息应用服务系统，开展国家地下水监测站点运行维护、地下水质采样监测、信息应用服务系统运行维护、数据整编、综合研究，获取水位、水质等地下水动态监测数据，分析研究地下水采灌、质量和污染状况以及由此引起的环境地质问题，实现对新疆维吾尔自治区地下水动态评价，实现对新疆维吾尔自治区主要平原盆地地下水动态评价，并将其成果转化为国家和社会所需的信息服务产品。</w:t>
      </w:r>
    </w:p>
    <w:p w14:paraId="2FDB1BEB">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rPr>
        <w:t>2.主要内容及实施情</w:t>
      </w:r>
      <w:r>
        <w:rPr>
          <w:rStyle w:val="21"/>
          <w:rFonts w:hint="eastAsia" w:ascii="仿宋" w:hAnsi="仿宋" w:eastAsia="仿宋" w:cs="仿宋"/>
          <w:b/>
          <w:bCs w:val="0"/>
          <w:spacing w:val="-4"/>
          <w:sz w:val="28"/>
          <w:szCs w:val="28"/>
          <w:lang w:val="en-US" w:eastAsia="zh-CN"/>
        </w:rPr>
        <w:t>况</w:t>
      </w:r>
    </w:p>
    <w:p w14:paraId="1BAE1FA8">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1</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主要内容</w:t>
      </w:r>
    </w:p>
    <w:p w14:paraId="1889594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新疆地质市场经营项目于2004年开展至今，对自治区重大交通、电力、油气及房建等工程开展地质灾害</w:t>
      </w:r>
      <w:bookmarkStart w:id="4" w:name="_GoBack"/>
      <w:bookmarkEnd w:id="4"/>
      <w:r>
        <w:rPr>
          <w:rFonts w:hint="eastAsia" w:ascii="仿宋" w:hAnsi="仿宋" w:eastAsia="仿宋" w:cs="仿宋"/>
          <w:color w:val="auto"/>
          <w:sz w:val="28"/>
          <w:szCs w:val="28"/>
          <w:lang w:val="en-US" w:eastAsia="zh-CN"/>
        </w:rPr>
        <w:t>危险性评估、压覆矿产资源评估，对矿山开展矿山地质环境保护与土地复垦方案编制工作，对地质灾害防治工程和矿山地质环境恢复治理工程开展监理工作，开展准噶尔盆地地下水位统测、国家地下水监测工程年度运行维护（新疆维吾尔自治区部分）工作，由新疆地质环境监测院负责管理，市场办、监理部、地下水资源调查评价研究室负责项目具体实施。基本内容主要包括：</w:t>
      </w:r>
    </w:p>
    <w:p w14:paraId="34F2DE0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①地质灾害危险性评估、压覆矿产资源评估、矿山地质环境保护与土地复垦方案</w:t>
      </w:r>
    </w:p>
    <w:p w14:paraId="219F6CE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查明工程建设用地及影响范围内的地质环境条件及地质灾害的类型、分布、规模、变形活动特征与主要引发因素；分析论证建设项目用地及影响范围内各种地质灾害的危险性，进行现状评估、预测评估和综合分区评估；评价建设工程遭受地质灾害的可能性和工程建设中、建成后引发加剧地质灾害的可能性，并提出具体的防治措施，对该工程建设用地的适宜性进行评估；提交地质灾害危险性评估报告。为工程建设用地审查报批和地质灾害防治提供依据。</w:t>
      </w:r>
    </w:p>
    <w:p w14:paraId="6C57C82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按照国土资源部有关建设项目压覆矿产资源储量管理的有关规定及关于改进建设项目压覆矿产资源审查工作的通知（新国土资发［2014］698号）、关于做好建设项目压覆重要矿产资源审批管理工作的通知 (新国土资发〔2011〕90号)等规范条例，在建设项目用地预审之前，对拟建项目用地范围及评估区范围（保护区范围）内压覆矿产资源储量情况进行调查与评估。对用地范围及评估区范围（保护区范围）与矿产开发情况进行调查评估并对建设项目压覆的重要矿产资源进行储量与价值评估。为工程建设用地审查报批和矿产资源合理开发利用提供依据。</w:t>
      </w:r>
    </w:p>
    <w:p w14:paraId="79F758E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根据国土资源部发布的《国土资源部办公厅关于做好矿山地质环境保护与土地复垦方案编报有关工作的通知》（国土资规[2016]21号）、《矿山地质环境保护与恢复治理方案编制规范》（国土资源部发布DZ/T 0223-2011）、《地质灾害危险性评估规范》（GB/T 40112-2021）、《土地复垦方案编制规程》（TD/T 2011）等相关规范，开展矿山地质环境条件、土地利用情况调查，提出地质环境防治工程和地质环境监测方案；贯彻落实“十分珍惜和合理利用土地，切实保护耕地”的基本国策，按照“因地制宜，综合利用”的原则，制定科学合理的土地复垦方向和土地复垦措施，坚持社会效益、经济效益和生态效益并重，努力实现土地资源的可持续利用。为矿业权审批及矿山地质环境保护、土地复垦及生态修复提供依据。</w:t>
      </w:r>
    </w:p>
    <w:p w14:paraId="0C89869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②地质灾害防治工程和矿山地质环境恢复治理工程监理</w:t>
      </w:r>
    </w:p>
    <w:p w14:paraId="0121C58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新疆维吾尔自治区地质环境监测院自2006年开始从事地质灾害防治工程和矿山地质环境恢复治理工程监理工作，主要根据已审核的施工设计文件，在工程施工阶段对工程施工进度、施工质量、工作量审核、施工安全管理、合同信息管理、施工组织协调等进行管理，通过监理工作实现工程质量目标、进度目标、安全目标等。</w:t>
      </w:r>
    </w:p>
    <w:p w14:paraId="5CD4886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③国家地下水监测工程2023年度运行维护（新疆维吾尔自治区部分）</w:t>
      </w:r>
    </w:p>
    <w:p w14:paraId="0CA70E0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国家地下水监测工程2023年度运行维护（新疆维吾尔自治区部分）属国家地下水监测工程运行维护与地下水质监测（2021-2023）子项目，项目来源中国地质环境监测院通过公开招标，由新疆维吾尔自治区地质环境监测院承担，完成新疆维吾尔自治区内410个国家地下水监测站点运行维护、信息应用服务系统运行维护、数据整编、综合研究等工作。</w:t>
      </w:r>
    </w:p>
    <w:p w14:paraId="3B36603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2</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实施情况</w:t>
      </w:r>
    </w:p>
    <w:p w14:paraId="376BA1F3">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截至2023年12月，</w:t>
      </w:r>
      <w:r>
        <w:rPr>
          <w:rFonts w:hint="eastAsia" w:ascii="仿宋" w:hAnsi="仿宋" w:eastAsia="仿宋" w:cs="仿宋"/>
          <w:sz w:val="28"/>
          <w:szCs w:val="28"/>
        </w:rPr>
        <w:t>项目已经完成实际设立的目标，项目在实施过程中严格按照目标设立的各阶段任务进行开展工作，在前期立项过程中严格把质量关，建立安全防护机制，保证项目实施各阶段安全顺利进行。</w:t>
      </w:r>
    </w:p>
    <w:p w14:paraId="26E4983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2023年度</w:t>
      </w:r>
      <w:r>
        <w:rPr>
          <w:rFonts w:hint="eastAsia" w:ascii="仿宋" w:hAnsi="仿宋" w:eastAsia="仿宋" w:cs="仿宋"/>
          <w:color w:val="auto"/>
          <w:sz w:val="28"/>
          <w:szCs w:val="28"/>
          <w:highlight w:val="none"/>
        </w:rPr>
        <w:t>项目总投资</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万元，其中：</w:t>
      </w:r>
      <w:r>
        <w:rPr>
          <w:rFonts w:hint="eastAsia" w:ascii="仿宋" w:hAnsi="仿宋" w:eastAsia="仿宋" w:cs="仿宋"/>
          <w:color w:val="auto"/>
          <w:sz w:val="28"/>
          <w:szCs w:val="28"/>
          <w:highlight w:val="none"/>
          <w:lang w:val="en-US" w:eastAsia="zh-CN"/>
        </w:rPr>
        <w:t>其他</w:t>
      </w:r>
      <w:r>
        <w:rPr>
          <w:rFonts w:hint="eastAsia" w:ascii="仿宋" w:hAnsi="仿宋" w:eastAsia="仿宋" w:cs="仿宋"/>
          <w:color w:val="auto"/>
          <w:sz w:val="28"/>
          <w:szCs w:val="28"/>
          <w:highlight w:val="none"/>
        </w:rPr>
        <w:t>资金</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万元。项目实际支出</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万元，支出率为1</w:t>
      </w:r>
      <w:r>
        <w:rPr>
          <w:rFonts w:hint="eastAsia" w:ascii="仿宋" w:hAnsi="仿宋" w:eastAsia="仿宋" w:cs="仿宋"/>
          <w:color w:val="auto"/>
          <w:sz w:val="28"/>
          <w:szCs w:val="28"/>
          <w:highlight w:val="none"/>
          <w:lang w:val="en-US" w:eastAsia="zh-CN"/>
        </w:rPr>
        <w:t>25.33</w:t>
      </w:r>
      <w:r>
        <w:rPr>
          <w:rFonts w:hint="eastAsia" w:ascii="仿宋" w:hAnsi="仿宋" w:eastAsia="仿宋" w:cs="仿宋"/>
          <w:color w:val="auto"/>
          <w:sz w:val="28"/>
          <w:szCs w:val="28"/>
          <w:highlight w:val="none"/>
        </w:rPr>
        <w:t>%。</w:t>
      </w:r>
    </w:p>
    <w:p w14:paraId="12398737">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项目实施主体</w:t>
      </w:r>
    </w:p>
    <w:p w14:paraId="61D98D20">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实施主体为新疆地质环境监测院，主要职能是：包括水文地质与水资源、地质灾害及国土空间修复工作的调查、监测及研究工作。作为自治区自然资源厅所属一类事业单位，每年承担自治区财政下达的相关公益性项目，有效的支撑了自然资源系统“两统一”职责。</w:t>
      </w:r>
    </w:p>
    <w:p w14:paraId="0CE734DE">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编制人数57人，其中：行政人员编制0人、工勤0人、参公0人、事业编制57人。实有在职人数48人，其中：行政在职0人、工勤0人、参公0人、事业在职48人。离退休人员29人，其中：行政退休人员0人、事业退休29人，离休0人。</w:t>
      </w:r>
    </w:p>
    <w:p w14:paraId="47375E3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4.</w:t>
      </w:r>
      <w:r>
        <w:rPr>
          <w:rStyle w:val="21"/>
          <w:rFonts w:hint="eastAsia" w:ascii="仿宋" w:hAnsi="仿宋" w:eastAsia="仿宋" w:cs="仿宋"/>
          <w:b/>
          <w:bCs w:val="0"/>
          <w:spacing w:val="-4"/>
          <w:sz w:val="28"/>
          <w:szCs w:val="28"/>
        </w:rPr>
        <w:t>资金投入和使用情况</w:t>
      </w:r>
    </w:p>
    <w:p w14:paraId="2C887EAE">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（1）资金</w:t>
      </w:r>
      <w:r>
        <w:rPr>
          <w:rFonts w:hint="eastAsia" w:ascii="仿宋" w:hAnsi="仿宋" w:eastAsia="仿宋" w:cs="仿宋"/>
          <w:sz w:val="28"/>
          <w:szCs w:val="28"/>
          <w:lang w:val="en-US" w:eastAsia="zh-CN"/>
        </w:rPr>
        <w:t>投入情况</w:t>
      </w:r>
    </w:p>
    <w:p w14:paraId="5BA8886F">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该项目年初预算数</w:t>
      </w:r>
      <w:r>
        <w:rPr>
          <w:rFonts w:hint="eastAsia" w:ascii="仿宋" w:hAnsi="仿宋" w:eastAsia="仿宋" w:cs="仿宋"/>
          <w:color w:val="auto"/>
          <w:sz w:val="28"/>
          <w:szCs w:val="28"/>
          <w:highlight w:val="none"/>
          <w:lang w:val="en-US" w:eastAsia="zh-CN"/>
        </w:rPr>
        <w:t>750</w:t>
      </w:r>
      <w:r>
        <w:rPr>
          <w:rFonts w:hint="eastAsia" w:ascii="仿宋" w:hAnsi="仿宋" w:eastAsia="仿宋" w:cs="仿宋"/>
          <w:color w:val="auto"/>
          <w:sz w:val="28"/>
          <w:szCs w:val="28"/>
          <w:highlight w:val="none"/>
        </w:rPr>
        <w:t>万元，全年预算数</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万元，实际总投入</w:t>
      </w:r>
      <w:r>
        <w:rPr>
          <w:rFonts w:hint="eastAsia" w:ascii="仿宋" w:hAnsi="仿宋" w:eastAsia="仿宋" w:cs="仿宋"/>
          <w:color w:val="auto"/>
          <w:sz w:val="28"/>
          <w:szCs w:val="28"/>
          <w:highlight w:val="none"/>
          <w:lang w:val="en-US" w:eastAsia="zh-CN"/>
        </w:rPr>
        <w:t>940</w:t>
      </w:r>
      <w:r>
        <w:rPr>
          <w:rFonts w:hint="eastAsia" w:ascii="仿宋" w:hAnsi="仿宋" w:eastAsia="仿宋" w:cs="仿宋"/>
          <w:color w:val="auto"/>
          <w:sz w:val="28"/>
          <w:szCs w:val="28"/>
          <w:highlight w:val="none"/>
        </w:rPr>
        <w:t>万元，该项目资金已全部落实到位，资金来源为</w:t>
      </w:r>
      <w:r>
        <w:rPr>
          <w:rFonts w:hint="eastAsia" w:ascii="仿宋" w:hAnsi="仿宋" w:eastAsia="仿宋" w:cs="仿宋"/>
          <w:color w:val="auto"/>
          <w:sz w:val="28"/>
          <w:szCs w:val="28"/>
          <w:highlight w:val="none"/>
          <w:lang w:val="en-US" w:eastAsia="zh-CN"/>
        </w:rPr>
        <w:t>其他资金</w:t>
      </w:r>
      <w:r>
        <w:rPr>
          <w:rFonts w:hint="eastAsia" w:ascii="仿宋" w:hAnsi="仿宋" w:eastAsia="仿宋" w:cs="仿宋"/>
          <w:color w:val="auto"/>
          <w:sz w:val="28"/>
          <w:szCs w:val="28"/>
          <w:highlight w:val="none"/>
        </w:rPr>
        <w:t>。</w:t>
      </w:r>
    </w:p>
    <w:p w14:paraId="26281EC3">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14:paraId="23EFF920">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b w:val="0"/>
          <w:bCs w:val="0"/>
          <w:kern w:val="2"/>
          <w:sz w:val="28"/>
          <w:szCs w:val="28"/>
          <w:highlight w:val="none"/>
        </w:rPr>
        <w:t>该项目年初预算数</w:t>
      </w:r>
      <w:r>
        <w:rPr>
          <w:rFonts w:hint="eastAsia" w:ascii="仿宋" w:hAnsi="仿宋" w:eastAsia="仿宋" w:cs="仿宋"/>
          <w:b w:val="0"/>
          <w:bCs w:val="0"/>
          <w:kern w:val="2"/>
          <w:sz w:val="28"/>
          <w:szCs w:val="28"/>
          <w:highlight w:val="none"/>
          <w:lang w:val="en-US" w:eastAsia="zh-CN"/>
        </w:rPr>
        <w:t>750</w:t>
      </w:r>
      <w:r>
        <w:rPr>
          <w:rFonts w:hint="eastAsia" w:ascii="仿宋" w:hAnsi="仿宋" w:eastAsia="仿宋" w:cs="仿宋"/>
          <w:b w:val="0"/>
          <w:bCs w:val="0"/>
          <w:kern w:val="2"/>
          <w:sz w:val="28"/>
          <w:szCs w:val="28"/>
          <w:highlight w:val="none"/>
        </w:rPr>
        <w:t>万元，全年预算数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万元，全年执行数</w:t>
      </w:r>
      <w:r>
        <w:rPr>
          <w:rFonts w:hint="eastAsia" w:ascii="仿宋" w:hAnsi="仿宋" w:eastAsia="仿宋" w:cs="仿宋"/>
          <w:b w:val="0"/>
          <w:bCs w:val="0"/>
          <w:kern w:val="2"/>
          <w:sz w:val="28"/>
          <w:szCs w:val="28"/>
          <w:highlight w:val="none"/>
          <w:lang w:val="en-US" w:eastAsia="zh-CN"/>
        </w:rPr>
        <w:t>940</w:t>
      </w:r>
      <w:r>
        <w:rPr>
          <w:rFonts w:hint="eastAsia" w:ascii="仿宋" w:hAnsi="仿宋" w:eastAsia="仿宋" w:cs="仿宋"/>
          <w:b w:val="0"/>
          <w:bCs w:val="0"/>
          <w:kern w:val="2"/>
          <w:sz w:val="28"/>
          <w:szCs w:val="28"/>
          <w:highlight w:val="none"/>
        </w:rPr>
        <w:t>万元，预算执行率为</w:t>
      </w:r>
      <w:r>
        <w:rPr>
          <w:rFonts w:hint="eastAsia" w:ascii="仿宋" w:hAnsi="仿宋" w:eastAsia="仿宋" w:cs="仿宋"/>
          <w:b w:val="0"/>
          <w:bCs w:val="0"/>
          <w:kern w:val="2"/>
          <w:sz w:val="28"/>
          <w:szCs w:val="28"/>
          <w:highlight w:val="none"/>
          <w:lang w:val="en-US" w:eastAsia="zh-CN"/>
        </w:rPr>
        <w:t>125.33</w:t>
      </w:r>
      <w:r>
        <w:rPr>
          <w:rFonts w:hint="eastAsia" w:ascii="仿宋" w:hAnsi="仿宋" w:eastAsia="仿宋" w:cs="仿宋"/>
          <w:b w:val="0"/>
          <w:bCs w:val="0"/>
          <w:kern w:val="2"/>
          <w:sz w:val="28"/>
          <w:szCs w:val="28"/>
          <w:highlight w:val="none"/>
        </w:rPr>
        <w:t>%，主要用于</w:t>
      </w:r>
      <w:r>
        <w:rPr>
          <w:rFonts w:hint="eastAsia" w:ascii="仿宋" w:hAnsi="仿宋" w:eastAsia="仿宋" w:cs="仿宋"/>
          <w:b w:val="0"/>
          <w:bCs w:val="0"/>
          <w:kern w:val="2"/>
          <w:sz w:val="28"/>
          <w:szCs w:val="28"/>
        </w:rPr>
        <w:t>：</w:t>
      </w:r>
      <w:r>
        <w:rPr>
          <w:rFonts w:hint="eastAsia" w:ascii="仿宋" w:hAnsi="仿宋" w:eastAsia="仿宋" w:cs="仿宋"/>
          <w:b w:val="0"/>
          <w:bCs w:val="0"/>
          <w:kern w:val="2"/>
          <w:sz w:val="28"/>
          <w:szCs w:val="28"/>
          <w:highlight w:val="none"/>
          <w:lang w:val="en-US" w:eastAsia="zh-CN"/>
        </w:rPr>
        <w:t>新疆地质市场经营项目实施</w:t>
      </w:r>
      <w:r>
        <w:rPr>
          <w:rFonts w:hint="eastAsia" w:ascii="仿宋" w:hAnsi="仿宋" w:eastAsia="仿宋" w:cs="仿宋"/>
          <w:b w:val="0"/>
          <w:bCs w:val="0"/>
          <w:kern w:val="2"/>
          <w:sz w:val="28"/>
          <w:szCs w:val="28"/>
        </w:rPr>
        <w:t>。</w:t>
      </w:r>
    </w:p>
    <w:p w14:paraId="2520B7C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（二）项目绩效目标</w:t>
      </w:r>
    </w:p>
    <w:p w14:paraId="6E195D40">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项目绩效目标包括项目绩效总目标和阶段性目标。</w:t>
      </w:r>
    </w:p>
    <w:p w14:paraId="3BCBC5C0">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1.项目绩效总目标</w:t>
      </w:r>
    </w:p>
    <w:p w14:paraId="1961E3E2">
      <w:pPr>
        <w:pStyle w:val="12"/>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建设用地地质灾害危险性评估项目15个，开展地质灾害防治工程和矿山地质环境恢复治理工程监理项目13个，通过油气、交通、房建等重大工程的地质灾害危险性评估及地质灾害防治工程和矿山地质环境恢复治理工程监理工作的实施，提高我区地质灾害防治能力。完成新疆维吾尔自治区410个国家地下水监测站点运行维护、信息应用服务系统运行维护、数据整编、综合研究等工作，通过国家地下水监测工程运行维护，提升我区地下水资源监测能力。</w:t>
      </w:r>
    </w:p>
    <w:p w14:paraId="14C85EF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2.阶段性目标</w:t>
      </w:r>
    </w:p>
    <w:p w14:paraId="51677BB4">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01622313">
      <w:pPr>
        <w:keepNext w:val="0"/>
        <w:keepLines w:val="0"/>
        <w:pageBreakBefore w:val="0"/>
        <w:numPr>
          <w:ilvl w:val="0"/>
          <w:numId w:val="0"/>
        </w:numPr>
        <w:kinsoku/>
        <w:wordWrap/>
        <w:overflowPunct/>
        <w:topLinePunct w:val="0"/>
        <w:autoSpaceDE/>
        <w:autoSpaceDN/>
        <w:bidi w:val="0"/>
        <w:adjustRightInd/>
        <w:snapToGrid/>
        <w:spacing w:line="480" w:lineRule="exact"/>
        <w:ind w:leftChars="200"/>
        <w:textAlignment w:val="auto"/>
        <w:rPr>
          <w:rStyle w:val="21"/>
          <w:rFonts w:hint="eastAsia" w:ascii="仿宋" w:hAnsi="仿宋" w:eastAsia="仿宋" w:cs="仿宋"/>
          <w:b w:val="0"/>
          <w:bCs/>
          <w:spacing w:val="-4"/>
          <w:sz w:val="28"/>
          <w:szCs w:val="28"/>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Style w:val="21"/>
          <w:rFonts w:hint="eastAsia" w:ascii="仿宋" w:hAnsi="仿宋" w:eastAsia="仿宋" w:cs="仿宋"/>
          <w:b w:val="0"/>
          <w:bCs/>
          <w:spacing w:val="-4"/>
          <w:sz w:val="28"/>
          <w:szCs w:val="28"/>
        </w:rPr>
        <w:t>项目产出目标</w:t>
      </w:r>
    </w:p>
    <w:p w14:paraId="571C8A90">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①数量指标</w:t>
      </w:r>
    </w:p>
    <w:p w14:paraId="07680F3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完成建设用地地质灾害危险性评估项目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10个；</w:t>
      </w:r>
    </w:p>
    <w:p w14:paraId="5FA6D6B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完成监理项目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13个；</w:t>
      </w:r>
    </w:p>
    <w:p w14:paraId="35CAEF05">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完成地下水监测设备校核；</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410组；</w:t>
      </w:r>
    </w:p>
    <w:p w14:paraId="6588A73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val="0"/>
          <w:color w:val="auto"/>
          <w:kern w:val="2"/>
          <w:sz w:val="28"/>
          <w:szCs w:val="28"/>
          <w:lang w:val="en-US" w:eastAsia="zh-CN" w:bidi="ar-SA"/>
        </w:rPr>
        <w:t>完成监测井井深测量</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val="0"/>
          <w:color w:val="auto"/>
          <w:kern w:val="2"/>
          <w:sz w:val="28"/>
          <w:szCs w:val="28"/>
          <w:lang w:val="en-US" w:eastAsia="zh-CN" w:bidi="ar-SA"/>
        </w:rPr>
        <w:t>≥400个；</w:t>
      </w:r>
    </w:p>
    <w:p w14:paraId="1400010C">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auto"/>
          <w:sz w:val="28"/>
          <w:szCs w:val="28"/>
          <w:lang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color w:val="auto"/>
          <w:sz w:val="28"/>
          <w:szCs w:val="28"/>
          <w:lang w:val="en-US" w:eastAsia="zh-CN"/>
        </w:rPr>
        <w:t>完成监测站点辅助设施养护维修</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lang w:val="en-US" w:eastAsia="zh-CN"/>
        </w:rPr>
        <w:t>410个。</w:t>
      </w:r>
    </w:p>
    <w:p w14:paraId="12A1A5E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eastAsia="zh-CN"/>
        </w:rPr>
      </w:pPr>
      <w:r>
        <w:rPr>
          <w:rFonts w:hint="eastAsia" w:ascii="仿宋" w:hAnsi="仿宋" w:eastAsia="仿宋" w:cs="仿宋"/>
          <w:b w:val="0"/>
          <w:bCs/>
          <w:color w:val="auto"/>
          <w:sz w:val="28"/>
          <w:szCs w:val="28"/>
          <w:highlight w:val="none"/>
          <w:u w:val="none"/>
          <w:lang w:eastAsia="zh-CN"/>
        </w:rPr>
        <w:t>②质量指标</w:t>
      </w:r>
    </w:p>
    <w:p w14:paraId="322CEFA7">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“地下水监测数据传输故障率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≤10%；</w:t>
      </w:r>
    </w:p>
    <w:p w14:paraId="1685BF8B">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“工作成果质量合格率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14:paraId="48860133">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“监测井运行维护合格率，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b w:val="0"/>
          <w:bCs/>
          <w:color w:val="auto"/>
          <w:sz w:val="28"/>
          <w:szCs w:val="28"/>
          <w:highlight w:val="none"/>
          <w:u w:val="none"/>
          <w:lang w:val="en-US" w:eastAsia="zh-CN"/>
        </w:rPr>
        <w:t>100%；</w:t>
      </w:r>
    </w:p>
    <w:p w14:paraId="321DAF8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“地下水均衡试验场运行故障率</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sz w:val="28"/>
          <w:szCs w:val="28"/>
          <w:highlight w:val="none"/>
          <w:u w:val="none"/>
          <w:lang w:val="en-US" w:eastAsia="zh-CN"/>
        </w:rPr>
        <w:t>≤20%。</w:t>
      </w:r>
    </w:p>
    <w:p w14:paraId="712380E8">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③成本指标</w:t>
      </w:r>
    </w:p>
    <w:p w14:paraId="18529D1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建设用地地质灾害危险性评估项目经费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≤185万元；</w:t>
      </w:r>
    </w:p>
    <w:p w14:paraId="50E0ADB7">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项目监理费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≤150万元；</w:t>
      </w:r>
    </w:p>
    <w:p w14:paraId="1C04AEDA">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完成地下水监测站点运行维护工作经费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≤0.46万元/个。</w:t>
      </w:r>
    </w:p>
    <w:p w14:paraId="7006A92D">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（2）项目效益目标</w:t>
      </w:r>
    </w:p>
    <w:p w14:paraId="2AC378E6">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kern w:val="2"/>
          <w:sz w:val="28"/>
          <w:szCs w:val="28"/>
          <w:highlight w:val="none"/>
          <w:u w:val="none"/>
          <w:lang w:val="en-US" w:eastAsia="zh-CN"/>
        </w:rPr>
        <w:t>①社会效益指标</w:t>
      </w:r>
    </w:p>
    <w:p w14:paraId="6D30C6D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提高我区地质灾害防治能力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有效提高；</w:t>
      </w:r>
    </w:p>
    <w:p w14:paraId="05E6573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auto"/>
          <w:kern w:val="2"/>
          <w:sz w:val="28"/>
          <w:szCs w:val="28"/>
          <w:highlight w:val="none"/>
          <w:u w:val="none"/>
          <w:lang w:val="en-US" w:eastAsia="zh-CN"/>
        </w:rPr>
      </w:pPr>
      <w:r>
        <w:rPr>
          <w:rFonts w:hint="eastAsia" w:ascii="仿宋" w:hAnsi="仿宋" w:eastAsia="仿宋" w:cs="仿宋"/>
          <w:b w:val="0"/>
          <w:bCs/>
          <w:color w:val="auto"/>
          <w:sz w:val="28"/>
          <w:szCs w:val="28"/>
          <w:highlight w:val="none"/>
          <w:u w:val="none"/>
          <w:lang w:val="en-US" w:eastAsia="zh-CN"/>
        </w:rPr>
        <w:t>“</w:t>
      </w:r>
      <w:r>
        <w:rPr>
          <w:rFonts w:hint="eastAsia" w:ascii="仿宋" w:hAnsi="仿宋" w:eastAsia="仿宋" w:cs="仿宋"/>
          <w:b w:val="0"/>
          <w:bCs/>
          <w:color w:val="auto"/>
          <w:kern w:val="2"/>
          <w:sz w:val="28"/>
          <w:szCs w:val="28"/>
          <w:highlight w:val="none"/>
          <w:u w:val="none"/>
          <w:lang w:val="en-US" w:eastAsia="zh-CN"/>
        </w:rPr>
        <w:t>提升我区地下水资源监测能力</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b w:val="0"/>
          <w:bCs/>
          <w:color w:val="auto"/>
          <w:kern w:val="2"/>
          <w:sz w:val="28"/>
          <w:szCs w:val="28"/>
          <w:highlight w:val="none"/>
          <w:u w:val="none"/>
          <w:lang w:val="en-US" w:eastAsia="zh-CN"/>
        </w:rPr>
        <w:t>有效提升。</w:t>
      </w:r>
    </w:p>
    <w:p w14:paraId="11DBEBA5">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14:paraId="2DF64EF5">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（一）绩效评价目的、对象和范围。</w:t>
      </w:r>
    </w:p>
    <w:p w14:paraId="41DB0BCB">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1.绩效评价目的</w:t>
      </w:r>
    </w:p>
    <w:p w14:paraId="0E1B8BB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94464A8">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项目在实施前向项目负责人提供财政支出绩效方面的资金管理信息，促进项目支出严格按照资金管理规定进行。</w:t>
      </w:r>
    </w:p>
    <w:p w14:paraId="28B625A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（2）项目绩效管理财政支出运行提供及时、有效的信息。</w:t>
      </w:r>
    </w:p>
    <w:p w14:paraId="1F292A35">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Style w:val="21"/>
          <w:rFonts w:hint="eastAsia" w:ascii="仿宋" w:hAnsi="仿宋" w:eastAsia="仿宋" w:cs="仿宋"/>
          <w:b w:val="0"/>
          <w:bCs/>
          <w:spacing w:val="-4"/>
          <w:sz w:val="28"/>
          <w:szCs w:val="28"/>
          <w:lang w:eastAsia="zh-CN"/>
        </w:rPr>
      </w:pPr>
      <w:r>
        <w:rPr>
          <w:rFonts w:hint="eastAsia" w:ascii="仿宋" w:hAnsi="仿宋" w:eastAsia="仿宋" w:cs="仿宋"/>
          <w:sz w:val="28"/>
          <w:szCs w:val="28"/>
        </w:rPr>
        <w:t>综合来看，通过开展有效的财政支出绩效评价管理，达到改进预算管理、控制节约成本，提高预算资金使用效益的目的。</w:t>
      </w:r>
    </w:p>
    <w:p w14:paraId="5C442E7F">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val="en-US" w:eastAsia="zh-CN"/>
        </w:rPr>
      </w:pPr>
      <w:r>
        <w:rPr>
          <w:rStyle w:val="21"/>
          <w:rFonts w:hint="eastAsia" w:ascii="仿宋" w:hAnsi="仿宋" w:eastAsia="仿宋" w:cs="仿宋"/>
          <w:b/>
          <w:bCs w:val="0"/>
          <w:spacing w:val="-4"/>
          <w:sz w:val="28"/>
          <w:szCs w:val="28"/>
          <w:lang w:val="en-US" w:eastAsia="zh-CN"/>
        </w:rPr>
        <w:t>2.绩效评价对象</w:t>
      </w:r>
    </w:p>
    <w:p w14:paraId="55B9AD82">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项目所包含的全部项目建设内容。</w:t>
      </w:r>
    </w:p>
    <w:p w14:paraId="6F16F7F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绩效评价范围</w:t>
      </w:r>
    </w:p>
    <w:p w14:paraId="65D64B3C">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本次评价从项目决策（包括绩效目标、决策过程）、项目管理（包括项目资金、项目实施）、项目产出（包括项目产出数量、产出质量、产出时效和产出成本）</w:t>
      </w:r>
      <w:r>
        <w:rPr>
          <w:rFonts w:hint="eastAsia" w:ascii="仿宋" w:hAnsi="仿宋" w:eastAsia="仿宋" w:cs="仿宋"/>
          <w:sz w:val="28"/>
          <w:szCs w:val="28"/>
          <w:highlight w:val="none"/>
          <w:lang w:val="en-US" w:eastAsia="zh-CN"/>
        </w:rPr>
        <w:t>和</w:t>
      </w:r>
      <w:r>
        <w:rPr>
          <w:rFonts w:hint="eastAsia" w:ascii="仿宋" w:hAnsi="仿宋" w:eastAsia="仿宋" w:cs="仿宋"/>
          <w:sz w:val="28"/>
          <w:szCs w:val="28"/>
          <w:highlight w:val="none"/>
        </w:rPr>
        <w:t>项目效益四个维度对</w:t>
      </w:r>
      <w:r>
        <w:rPr>
          <w:rFonts w:hint="eastAsia" w:ascii="仿宋" w:hAnsi="仿宋" w:eastAsia="仿宋" w:cs="仿宋"/>
          <w:sz w:val="28"/>
          <w:szCs w:val="28"/>
        </w:rPr>
        <w:t>新疆地质</w:t>
      </w:r>
      <w:r>
        <w:rPr>
          <w:rFonts w:hint="eastAsia" w:ascii="仿宋" w:hAnsi="仿宋" w:eastAsia="仿宋" w:cs="仿宋"/>
          <w:sz w:val="28"/>
          <w:szCs w:val="28"/>
          <w:lang w:val="en-US" w:eastAsia="zh-CN"/>
        </w:rPr>
        <w:t>市场经营</w:t>
      </w:r>
      <w:r>
        <w:rPr>
          <w:rFonts w:hint="eastAsia" w:ascii="仿宋" w:hAnsi="仿宋" w:eastAsia="仿宋" w:cs="仿宋"/>
          <w:sz w:val="28"/>
          <w:szCs w:val="28"/>
        </w:rPr>
        <w:t>项目</w:t>
      </w:r>
      <w:r>
        <w:rPr>
          <w:rFonts w:hint="eastAsia" w:ascii="仿宋" w:hAnsi="仿宋" w:eastAsia="仿宋" w:cs="仿宋"/>
          <w:sz w:val="28"/>
          <w:szCs w:val="28"/>
          <w:highlight w:val="none"/>
        </w:rPr>
        <w:t>进行评价，评价核心为专项资金的支出完成情况和效果。</w:t>
      </w:r>
    </w:p>
    <w:p w14:paraId="0104E1CF">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（二）绩效评价原则、评价指标体系、评价方法、评价标准。</w:t>
      </w:r>
    </w:p>
    <w:p w14:paraId="58422FD9">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val="0"/>
          <w:bCs/>
          <w:spacing w:val="-4"/>
          <w:sz w:val="28"/>
          <w:szCs w:val="28"/>
        </w:rPr>
      </w:pPr>
      <w:r>
        <w:rPr>
          <w:rStyle w:val="21"/>
          <w:rFonts w:hint="eastAsia" w:ascii="仿宋" w:hAnsi="仿宋" w:eastAsia="仿宋" w:cs="仿宋"/>
          <w:b/>
          <w:bCs w:val="0"/>
          <w:spacing w:val="-4"/>
          <w:sz w:val="28"/>
          <w:szCs w:val="28"/>
        </w:rPr>
        <w:t>1.绩效评价原则</w:t>
      </w:r>
    </w:p>
    <w:p w14:paraId="1C4172D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本次项目绩效评价遵循以下基本原则：</w:t>
      </w:r>
    </w:p>
    <w:p w14:paraId="63E38265">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0F86FC55">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32196936">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623621A8">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14:paraId="40038B4C">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2.绩效评价指标体系</w:t>
      </w:r>
    </w:p>
    <w:p w14:paraId="33CE1E48">
      <w:pPr>
        <w:pStyle w:val="49"/>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 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14:paraId="36B59060">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14:paraId="6E44F53F">
      <w:pPr>
        <w:pStyle w:val="49"/>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14:paraId="1299CD92">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1DBFAFBF">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val="en-US" w:eastAsia="zh-CN"/>
        </w:rPr>
        <w:t>3.</w:t>
      </w:r>
      <w:r>
        <w:rPr>
          <w:rStyle w:val="21"/>
          <w:rFonts w:hint="eastAsia" w:ascii="仿宋" w:hAnsi="仿宋" w:eastAsia="仿宋" w:cs="仿宋"/>
          <w:b/>
          <w:bCs w:val="0"/>
          <w:spacing w:val="-4"/>
          <w:sz w:val="28"/>
          <w:szCs w:val="28"/>
        </w:rPr>
        <w:t>绩效评价方法</w:t>
      </w:r>
    </w:p>
    <w:p w14:paraId="5BE759D8">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绩效评价从项目决策、项目过程、项目产出、项目效益四个维度进行评价。评价对象为项目目标实施情况，评价核心为资金的支出完成情况和项目的产出效益。</w:t>
      </w:r>
    </w:p>
    <w:p w14:paraId="0C0B3778">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本次评价指标中，既有定性指标又有定量指标，各类指标因考核内容不同和客观标准不同存在较大差异，因此核定具体指标时采用了不同方法，具体评价方法如</w:t>
      </w:r>
      <w:r>
        <w:rPr>
          <w:rFonts w:hint="eastAsia" w:ascii="仿宋" w:hAnsi="仿宋" w:eastAsia="仿宋" w:cs="仿宋"/>
          <w:color w:val="000000"/>
          <w:spacing w:val="17"/>
          <w:sz w:val="28"/>
          <w:szCs w:val="28"/>
          <w:lang w:val="en-US" w:eastAsia="zh-CN"/>
        </w:rPr>
        <w:t>下：</w:t>
      </w:r>
    </w:p>
    <w:p w14:paraId="27BD852D">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（1）比较法</w:t>
      </w:r>
    </w:p>
    <w:p w14:paraId="1706FEE6">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通过对绩效目标与实施效果、历史与当期情况，综合分析绩效目标实现程度。对项目最终验收情况与年度绩效目标对比、预算资金执行情况等相关因素进行比较。</w:t>
      </w:r>
    </w:p>
    <w:p w14:paraId="724877DE">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（2）因素分析法</w:t>
      </w:r>
    </w:p>
    <w:p w14:paraId="40A13584">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rPr>
      </w:pPr>
      <w:r>
        <w:rPr>
          <w:rFonts w:hint="eastAsia" w:ascii="仿宋" w:hAnsi="仿宋" w:eastAsia="仿宋" w:cs="仿宋"/>
          <w:color w:val="000000"/>
          <w:spacing w:val="17"/>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3BB848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4、评价标准</w:t>
      </w:r>
    </w:p>
    <w:p w14:paraId="7A049F20">
      <w:pPr>
        <w:keepNext w:val="0"/>
        <w:keepLines w:val="0"/>
        <w:pageBreakBefore w:val="0"/>
        <w:kinsoku/>
        <w:wordWrap/>
        <w:overflowPunct/>
        <w:topLinePunct w:val="0"/>
        <w:autoSpaceDE/>
        <w:autoSpaceDN/>
        <w:bidi w:val="0"/>
        <w:adjustRightInd/>
        <w:snapToGrid/>
        <w:spacing w:line="480" w:lineRule="exact"/>
        <w:ind w:left="0" w:leftChars="0" w:firstLine="628" w:firstLineChars="200"/>
        <w:textAlignment w:val="auto"/>
        <w:rPr>
          <w:rFonts w:hint="eastAsia" w:ascii="仿宋" w:hAnsi="仿宋" w:eastAsia="仿宋" w:cs="仿宋"/>
          <w:color w:val="000000"/>
          <w:spacing w:val="17"/>
          <w:sz w:val="28"/>
          <w:szCs w:val="28"/>
          <w:lang w:val="en-US" w:eastAsia="zh-CN"/>
        </w:rPr>
      </w:pPr>
      <w:r>
        <w:rPr>
          <w:rFonts w:hint="eastAsia" w:ascii="仿宋" w:hAnsi="仿宋" w:eastAsia="仿宋" w:cs="仿宋"/>
          <w:color w:val="000000"/>
          <w:spacing w:val="17"/>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77A4552">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三</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绩效评价工作过程。</w:t>
      </w:r>
    </w:p>
    <w:p w14:paraId="79E4A151">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14:paraId="2852717E">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第一阶段：前期准备。认真学习相关要求与规定，成立绩效评价工作组，作为绩效评价工作具体实施机构。成员构成如下：</w:t>
      </w:r>
    </w:p>
    <w:p w14:paraId="4A4C9298">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阿地力·阿不拉</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党总支书记、院长</w:t>
      </w:r>
      <w:r>
        <w:rPr>
          <w:rFonts w:hint="eastAsia" w:ascii="仿宋" w:hAnsi="仿宋" w:eastAsia="仿宋" w:cs="仿宋"/>
          <w:color w:val="auto"/>
          <w:sz w:val="28"/>
          <w:szCs w:val="28"/>
          <w:highlight w:val="none"/>
        </w:rPr>
        <w:t>，绩效评价工作职责为负责全盘工作。</w:t>
      </w:r>
    </w:p>
    <w:p w14:paraId="133ED79F">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乔华、王占和</w:t>
      </w:r>
      <w:r>
        <w:rPr>
          <w:rFonts w:hint="eastAsia" w:ascii="仿宋" w:hAnsi="仿宋" w:eastAsia="仿宋" w:cs="仿宋"/>
          <w:color w:val="auto"/>
          <w:sz w:val="28"/>
          <w:szCs w:val="28"/>
          <w:highlight w:val="none"/>
        </w:rPr>
        <w:t>任评价组副组长，绩效评价工作职责为对项目实施情况进行实地调查。</w:t>
      </w:r>
    </w:p>
    <w:p w14:paraId="36FF30A9">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lang w:val="en-US" w:eastAsia="zh-CN"/>
        </w:rPr>
        <w:t xml:space="preserve">　   </w:t>
      </w:r>
      <w:r>
        <w:rPr>
          <w:rFonts w:hint="eastAsia" w:ascii="仿宋" w:hAnsi="仿宋" w:eastAsia="仿宋" w:cs="仿宋"/>
          <w:sz w:val="28"/>
          <w:lang w:val="en-US" w:eastAsia="zh-CN"/>
        </w:rPr>
        <w:t>苏潇、魏贤程、吕东、王旭奎、夏红艳、贺强、朱建华、陈静、孙强</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14:paraId="0D86BA3D">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第二阶段：组织实施。经评价组通过实地调研等方式，采用综合分析法对项目的决策、管理、绩效进行的综合评价分析。</w:t>
      </w:r>
    </w:p>
    <w:p w14:paraId="124D30AD">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14:paraId="6BABEA83">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14:paraId="1354C71F">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14:paraId="1BB192A1">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14:paraId="7E255457">
      <w:pPr>
        <w:keepNext w:val="0"/>
        <w:keepLines w:val="0"/>
        <w:pageBreakBefore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r>
        <w:rPr>
          <w:rFonts w:hint="eastAsia" w:ascii="仿宋" w:hAnsi="仿宋" w:eastAsia="仿宋" w:cs="仿宋"/>
          <w:bCs/>
          <w:sz w:val="28"/>
          <w:szCs w:val="28"/>
        </w:rPr>
        <w:t>。</w:t>
      </w:r>
    </w:p>
    <w:p w14:paraId="69ED3BA8">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三、</w:t>
      </w:r>
      <w:r>
        <w:rPr>
          <w:rFonts w:hint="eastAsia" w:ascii="方正黑体_GBK" w:hAnsi="方正黑体_GBK" w:eastAsia="方正黑体_GBK" w:cs="方正黑体_GBK"/>
          <w:b/>
          <w:bCs/>
          <w:sz w:val="32"/>
          <w:szCs w:val="32"/>
          <w:highlight w:val="none"/>
        </w:rPr>
        <w:t>综合评价情况及评价结论（附相关评分表）</w:t>
      </w:r>
    </w:p>
    <w:p w14:paraId="24A490DA">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14:paraId="04D24706">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2DCB667A">
      <w:pPr>
        <w:spacing w:line="480" w:lineRule="auto"/>
        <w:ind w:firstLine="0" w:firstLineChars="0"/>
        <w:jc w:val="left"/>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kern w:val="0"/>
          <w:sz w:val="28"/>
          <w:szCs w:val="28"/>
          <w:highlight w:val="none"/>
          <w:lang w:val="en-US" w:eastAsia="zh-CN" w:bidi="ar-SA"/>
        </w:rPr>
        <w:t>”项目绩效进行客观公正的评价，本项目总得分为93.74分，绩效评级属于“优”。其中，决策类指标得分20分，过程类指标得分18.74分，产出类指标得分35分，效益类指标得分20分。</w:t>
      </w:r>
    </w:p>
    <w:p w14:paraId="0219A90A">
      <w:pPr>
        <w:pStyle w:val="49"/>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14:paraId="2DB3326B">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经评价，本项目达到了年初设立的绩效目标，在实施过程中取得了良好的成效，具体表现在：随着西部大开发战略的实施和资源、环境可持续发展需要，新疆维吾尔自治区地质环境监测院将把各族人民的安危牢记在心间，以最优的服务质量，不断完善管理制度，开展建设项目地质灾害危险性评估、压覆矿产资源评估、矿山地质环境保护与土地复垦方案、地质灾害防治规划、地质环境监测规划工作，为建设项目建设用地报批及地质灾害防治提供科学依据，为矿权申报提供依据，为地方政府地质灾害防治规划、地质环境监测规划提供依据。</w:t>
      </w:r>
    </w:p>
    <w:p w14:paraId="1E8A47C0">
      <w:pPr>
        <w:ind w:firstLine="643" w:firstLineChars="200"/>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14:paraId="19B8AB4D">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（一）项目决策情况。</w:t>
      </w:r>
    </w:p>
    <w:p w14:paraId="76938E54">
      <w:pPr>
        <w:keepNext w:val="0"/>
        <w:keepLines w:val="0"/>
        <w:pageBreakBefore w:val="0"/>
        <w:widowControl w:val="0"/>
        <w:kinsoku/>
        <w:wordWrap/>
        <w:overflowPunct w:val="0"/>
        <w:topLinePunct w:val="0"/>
        <w:autoSpaceDE/>
        <w:autoSpaceDN/>
        <w:bidi w:val="0"/>
        <w:adjustRightInd/>
        <w:snapToGrid/>
        <w:spacing w:line="560" w:lineRule="exact"/>
        <w:ind w:firstLine="560" w:firstLineChars="200"/>
        <w:contextualSpacing/>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42FC140C">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（1）立项依据充分性：</w:t>
      </w:r>
      <w:r>
        <w:rPr>
          <w:rFonts w:hint="eastAsia" w:ascii="仿宋" w:hAnsi="仿宋" w:eastAsia="仿宋" w:cs="仿宋"/>
          <w:sz w:val="28"/>
          <w:szCs w:val="28"/>
        </w:rPr>
        <w:t>《</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自然资函</w:t>
      </w: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46</w:t>
      </w:r>
      <w:r>
        <w:rPr>
          <w:rFonts w:hint="eastAsia" w:ascii="仿宋" w:hAnsi="仿宋" w:eastAsia="仿宋" w:cs="仿宋"/>
          <w:sz w:val="28"/>
          <w:szCs w:val="28"/>
        </w:rPr>
        <w:t>号</w:t>
      </w:r>
      <w:r>
        <w:rPr>
          <w:rFonts w:hint="eastAsia" w:ascii="仿宋" w:hAnsi="仿宋" w:eastAsia="仿宋" w:cs="仿宋"/>
          <w:sz w:val="28"/>
          <w:szCs w:val="28"/>
          <w:highlight w:val="none"/>
          <w:lang w:val="en-US" w:eastAsia="zh-CN"/>
        </w:rPr>
        <w:t>并结合新疆维吾尔自治区地质环境监测院</w:t>
      </w:r>
      <w:r>
        <w:rPr>
          <w:rFonts w:hint="eastAsia" w:ascii="仿宋" w:hAnsi="仿宋" w:eastAsia="仿宋" w:cs="仿宋"/>
          <w:sz w:val="28"/>
          <w:szCs w:val="28"/>
          <w:highlight w:val="none"/>
        </w:rPr>
        <w:t>职责组织实施。围绕</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sz w:val="28"/>
          <w:szCs w:val="28"/>
          <w:highlight w:val="none"/>
        </w:rPr>
        <w:t>年度工作重点和工作计划制定经费预算，根据评分标准，该指标不扣分，得3分。</w:t>
      </w:r>
    </w:p>
    <w:p w14:paraId="54EA5439">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sz w:val="28"/>
          <w:szCs w:val="28"/>
          <w:highlight w:val="none"/>
          <w:lang w:val="en-US" w:eastAsia="zh-CN"/>
        </w:rPr>
        <w:t>新疆维吾尔自治区地质环境监测院财经领导小组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院党总支扩大会议</w:t>
      </w:r>
      <w:r>
        <w:rPr>
          <w:rFonts w:hint="eastAsia" w:ascii="仿宋" w:hAnsi="仿宋" w:eastAsia="仿宋" w:cs="仿宋"/>
          <w:sz w:val="28"/>
          <w:szCs w:val="28"/>
          <w:highlight w:val="none"/>
        </w:rPr>
        <w:t>研究确定最终预算方案，根据评分标准，该指标不扣分，得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1E8420A9">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p>
    <w:p w14:paraId="750E7B94">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720E8DF9">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（5）预算编制科学性：</w:t>
      </w:r>
      <w:r>
        <w:rPr>
          <w:rFonts w:hint="eastAsia" w:ascii="仿宋" w:hAnsi="仿宋" w:eastAsia="仿宋" w:cs="仿宋"/>
          <w:sz w:val="28"/>
          <w:szCs w:val="28"/>
          <w:highlight w:val="none"/>
          <w:lang w:val="en-US" w:eastAsia="zh-CN"/>
        </w:rPr>
        <w:t>预算编制经</w:t>
      </w:r>
      <w:r>
        <w:rPr>
          <w:rFonts w:hint="eastAsia" w:ascii="仿宋" w:hAnsi="仿宋" w:eastAsia="仿宋" w:cs="仿宋"/>
          <w:sz w:val="28"/>
          <w:szCs w:val="28"/>
        </w:rPr>
        <w:t>过自治区《</w:t>
      </w:r>
      <w:r>
        <w:rPr>
          <w:rFonts w:hint="eastAsia" w:ascii="仿宋" w:hAnsi="仿宋" w:eastAsia="仿宋" w:cs="仿宋"/>
          <w:sz w:val="28"/>
          <w:szCs w:val="28"/>
          <w:lang w:val="en-US" w:eastAsia="zh-CN"/>
        </w:rPr>
        <w:t>关于批复自治区本级2024年部门预算的通知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财预</w:t>
      </w: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eastAsia="仿宋" w:cs="仿宋"/>
          <w:sz w:val="28"/>
          <w:szCs w:val="28"/>
        </w:rPr>
        <w:t>号）、《关于</w:t>
      </w:r>
      <w:r>
        <w:rPr>
          <w:rFonts w:hint="eastAsia" w:ascii="仿宋" w:hAnsi="仿宋" w:eastAsia="仿宋" w:cs="仿宋"/>
          <w:sz w:val="28"/>
          <w:szCs w:val="28"/>
          <w:lang w:val="en-US" w:eastAsia="zh-CN"/>
        </w:rPr>
        <w:t>批复2024年直属单位预算的通知</w:t>
      </w:r>
      <w:r>
        <w:rPr>
          <w:rFonts w:hint="eastAsia" w:ascii="仿宋" w:hAnsi="仿宋" w:eastAsia="仿宋" w:cs="仿宋"/>
          <w:sz w:val="28"/>
          <w:szCs w:val="28"/>
        </w:rPr>
        <w:t>》新</w:t>
      </w:r>
      <w:r>
        <w:rPr>
          <w:rFonts w:hint="eastAsia" w:ascii="仿宋" w:hAnsi="仿宋" w:eastAsia="仿宋" w:cs="仿宋"/>
          <w:sz w:val="28"/>
          <w:szCs w:val="28"/>
          <w:lang w:val="en-US" w:eastAsia="zh-CN"/>
        </w:rPr>
        <w:t>自然</w:t>
      </w:r>
      <w:r>
        <w:rPr>
          <w:rFonts w:hint="eastAsia" w:ascii="仿宋" w:hAnsi="仿宋" w:eastAsia="仿宋" w:cs="仿宋"/>
          <w:sz w:val="28"/>
          <w:szCs w:val="28"/>
          <w:highlight w:val="none"/>
          <w:lang w:val="en-US" w:eastAsia="zh-CN"/>
        </w:rPr>
        <w:t>资函</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46</w:t>
      </w:r>
      <w:r>
        <w:rPr>
          <w:rFonts w:hint="eastAsia" w:ascii="仿宋" w:hAnsi="仿宋" w:eastAsia="仿宋" w:cs="仿宋"/>
          <w:sz w:val="28"/>
          <w:szCs w:val="28"/>
          <w:highlight w:val="none"/>
        </w:rPr>
        <w:t>号</w:t>
      </w:r>
      <w:r>
        <w:rPr>
          <w:rFonts w:hint="eastAsia" w:ascii="仿宋" w:hAnsi="仿宋" w:eastAsia="仿宋" w:cs="仿宋"/>
          <w:sz w:val="28"/>
          <w:szCs w:val="28"/>
          <w:highlight w:val="none"/>
          <w:lang w:val="en-US" w:eastAsia="zh-CN"/>
        </w:rPr>
        <w:t>下拨，实际完成</w:t>
      </w:r>
      <w:r>
        <w:rPr>
          <w:rFonts w:hint="eastAsia" w:ascii="仿宋" w:hAnsi="仿宋" w:eastAsia="仿宋" w:cs="仿宋"/>
          <w:sz w:val="28"/>
          <w:szCs w:val="28"/>
          <w:highlight w:val="none"/>
        </w:rPr>
        <w:t>内容与项目内容匹配，项目投资额与工作任务</w:t>
      </w:r>
      <w:r>
        <w:rPr>
          <w:rFonts w:hint="eastAsia" w:ascii="仿宋" w:hAnsi="仿宋" w:eastAsia="仿宋" w:cs="仿宋"/>
          <w:sz w:val="28"/>
          <w:szCs w:val="28"/>
          <w:highlight w:val="none"/>
          <w:lang w:val="en-US" w:eastAsia="zh-CN"/>
        </w:rPr>
        <w:t>相对相符</w:t>
      </w:r>
      <w:r>
        <w:rPr>
          <w:rFonts w:hint="eastAsia" w:ascii="仿宋" w:hAnsi="仿宋" w:eastAsia="仿宋" w:cs="仿宋"/>
          <w:sz w:val="28"/>
          <w:szCs w:val="28"/>
          <w:highlight w:val="none"/>
        </w:rPr>
        <w:t>，根据评分标准，该指标不扣分，得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14:paraId="368C2812">
      <w:pPr>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
          <w:bCs/>
          <w:sz w:val="28"/>
          <w:szCs w:val="28"/>
          <w:highlight w:val="none"/>
        </w:rPr>
        <w:t>（6）资金分配合理性：</w:t>
      </w:r>
      <w:r>
        <w:rPr>
          <w:rFonts w:hint="eastAsia" w:ascii="仿宋" w:hAnsi="仿宋" w:eastAsia="仿宋" w:cs="仿宋"/>
          <w:sz w:val="28"/>
          <w:szCs w:val="28"/>
          <w:highlight w:val="none"/>
          <w:lang w:val="en-US" w:eastAsia="zh-CN"/>
        </w:rPr>
        <w:t>资金分配按照</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关于部分厅属事业单位三定方案的批复</w:t>
      </w:r>
      <w:r>
        <w:rPr>
          <w:rFonts w:hint="eastAsia" w:ascii="仿宋" w:hAnsi="仿宋" w:eastAsia="仿宋" w:cs="仿宋"/>
          <w:color w:val="auto"/>
          <w:sz w:val="28"/>
          <w:szCs w:val="28"/>
          <w:highlight w:val="none"/>
          <w:lang w:val="zh-CN" w:eastAsia="zh-CN"/>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lang w:val="zh-CN" w:eastAsia="zh-CN"/>
        </w:rPr>
        <w:t>〔201</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103</w:t>
      </w:r>
      <w:r>
        <w:rPr>
          <w:rFonts w:hint="eastAsia" w:ascii="仿宋" w:hAnsi="仿宋" w:eastAsia="仿宋" w:cs="仿宋"/>
          <w:color w:val="auto"/>
          <w:sz w:val="28"/>
          <w:szCs w:val="28"/>
          <w:highlight w:val="none"/>
          <w:lang w:val="zh-CN" w:eastAsia="zh-CN"/>
        </w:rPr>
        <w:t>号）、</w:t>
      </w:r>
      <w:r>
        <w:rPr>
          <w:rFonts w:hint="eastAsia" w:ascii="仿宋" w:hAnsi="仿宋" w:eastAsia="仿宋" w:cs="仿宋"/>
          <w:color w:val="auto"/>
          <w:sz w:val="28"/>
          <w:szCs w:val="28"/>
          <w:highlight w:val="none"/>
        </w:rPr>
        <w:t>自治区《</w:t>
      </w:r>
      <w:r>
        <w:rPr>
          <w:rFonts w:hint="eastAsia" w:ascii="仿宋" w:hAnsi="仿宋" w:eastAsia="仿宋" w:cs="仿宋"/>
          <w:color w:val="auto"/>
          <w:sz w:val="28"/>
          <w:szCs w:val="28"/>
          <w:highlight w:val="none"/>
          <w:lang w:val="en-US" w:eastAsia="zh-CN"/>
        </w:rPr>
        <w:t>关于批复自治区本级2024年部门预算的通知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财预</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lang w:val="en-US" w:eastAsia="zh-CN"/>
        </w:rPr>
        <w:t>批复2024年直属单位预算的通知</w:t>
      </w:r>
      <w:r>
        <w:rPr>
          <w:rFonts w:hint="eastAsia" w:ascii="仿宋" w:hAnsi="仿宋" w:eastAsia="仿宋" w:cs="仿宋"/>
          <w:color w:val="auto"/>
          <w:sz w:val="28"/>
          <w:szCs w:val="28"/>
          <w:highlight w:val="none"/>
        </w:rPr>
        <w:t>》新</w:t>
      </w:r>
      <w:r>
        <w:rPr>
          <w:rFonts w:hint="eastAsia" w:ascii="仿宋" w:hAnsi="仿宋" w:eastAsia="仿宋" w:cs="仿宋"/>
          <w:color w:val="auto"/>
          <w:sz w:val="28"/>
          <w:szCs w:val="28"/>
          <w:highlight w:val="none"/>
          <w:lang w:val="en-US" w:eastAsia="zh-CN"/>
        </w:rPr>
        <w:t>自然资函</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46</w:t>
      </w:r>
      <w:r>
        <w:rPr>
          <w:rFonts w:hint="eastAsia" w:ascii="仿宋" w:hAnsi="仿宋" w:eastAsia="仿宋" w:cs="仿宋"/>
          <w:color w:val="auto"/>
          <w:sz w:val="28"/>
          <w:szCs w:val="28"/>
          <w:highlight w:val="none"/>
        </w:rPr>
        <w:t>号</w:t>
      </w:r>
      <w:r>
        <w:rPr>
          <w:rFonts w:hint="eastAsia" w:ascii="仿宋" w:hAnsi="仿宋" w:eastAsia="仿宋" w:cs="仿宋"/>
          <w:color w:val="auto"/>
          <w:sz w:val="28"/>
          <w:szCs w:val="28"/>
          <w:highlight w:val="none"/>
          <w:lang w:val="en-US" w:eastAsia="zh-CN"/>
        </w:rPr>
        <w:t>文件要求，</w:t>
      </w:r>
      <w:r>
        <w:rPr>
          <w:rFonts w:hint="eastAsia" w:ascii="仿宋" w:hAnsi="仿宋" w:eastAsia="仿宋" w:cs="仿宋"/>
          <w:color w:val="auto"/>
          <w:sz w:val="28"/>
          <w:szCs w:val="28"/>
          <w:highlight w:val="none"/>
        </w:rPr>
        <w:t>资金分配与实际</w:t>
      </w:r>
      <w:r>
        <w:rPr>
          <w:rFonts w:hint="eastAsia" w:ascii="仿宋" w:hAnsi="仿宋" w:eastAsia="仿宋" w:cs="仿宋"/>
          <w:color w:val="auto"/>
          <w:sz w:val="28"/>
          <w:szCs w:val="28"/>
          <w:highlight w:val="none"/>
          <w:lang w:val="en-US" w:eastAsia="zh-CN"/>
        </w:rPr>
        <w:t>有偏差</w:t>
      </w:r>
      <w:r>
        <w:rPr>
          <w:rFonts w:hint="eastAsia" w:ascii="仿宋" w:hAnsi="仿宋" w:eastAsia="仿宋" w:cs="仿宋"/>
          <w:color w:val="auto"/>
          <w:sz w:val="28"/>
          <w:szCs w:val="28"/>
          <w:highlight w:val="none"/>
        </w:rPr>
        <w:t>，根据评分标准，该指标不扣分，得</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w:t>
      </w:r>
    </w:p>
    <w:p w14:paraId="259792DC">
      <w:pPr>
        <w:keepNext w:val="0"/>
        <w:keepLines w:val="0"/>
        <w:pageBreakBefore w:val="0"/>
        <w:widowControl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lang w:eastAsia="zh-CN"/>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项目过程情况</w:t>
      </w:r>
    </w:p>
    <w:p w14:paraId="12BBECE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项目过程类指标包括资金管理和组织实施两方面的内容，由 5个三级指标构成，权重分为20分，实际得分</w:t>
      </w:r>
      <w:r>
        <w:rPr>
          <w:rFonts w:hint="eastAsia" w:ascii="仿宋" w:hAnsi="仿宋" w:eastAsia="仿宋" w:cs="仿宋"/>
          <w:sz w:val="28"/>
          <w:szCs w:val="28"/>
          <w:highlight w:val="none"/>
          <w:lang w:val="en-US" w:eastAsia="zh-CN"/>
        </w:rPr>
        <w:t>18.74</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93.7</w:t>
      </w:r>
      <w:r>
        <w:rPr>
          <w:rFonts w:hint="eastAsia" w:ascii="仿宋" w:hAnsi="仿宋" w:eastAsia="仿宋" w:cs="仿宋"/>
          <w:sz w:val="28"/>
          <w:szCs w:val="28"/>
          <w:highlight w:val="none"/>
        </w:rPr>
        <w:t>%。</w:t>
      </w:r>
    </w:p>
    <w:p w14:paraId="21FAFDA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资金到位率：</w:t>
      </w:r>
      <w:r>
        <w:rPr>
          <w:rFonts w:hint="eastAsia" w:ascii="仿宋" w:hAnsi="仿宋" w:eastAsia="仿宋" w:cs="仿宋"/>
          <w:color w:val="auto"/>
          <w:sz w:val="28"/>
          <w:szCs w:val="28"/>
          <w:highlight w:val="none"/>
          <w:lang w:val="en-US" w:eastAsia="zh-CN"/>
        </w:rPr>
        <w:t>该项目总投资750万元，实际到位资金940万元，其中其他资金940万元，</w:t>
      </w:r>
      <w:r>
        <w:rPr>
          <w:rFonts w:hint="eastAsia" w:ascii="仿宋" w:hAnsi="仿宋" w:eastAsia="仿宋" w:cs="仿宋"/>
          <w:sz w:val="28"/>
          <w:szCs w:val="28"/>
          <w:highlight w:val="none"/>
          <w:lang w:val="en-US" w:eastAsia="zh-CN"/>
        </w:rPr>
        <w:t>资金足额拨付到位，根据评分标准，该指标不扣分，得5分。</w:t>
      </w:r>
      <w:r>
        <w:rPr>
          <w:rFonts w:hint="eastAsia" w:ascii="仿宋" w:hAnsi="仿宋" w:eastAsia="仿宋" w:cs="仿宋"/>
          <w:sz w:val="28"/>
          <w:szCs w:val="28"/>
          <w:highlight w:val="none"/>
        </w:rPr>
        <w:t xml:space="preserve">   </w:t>
      </w:r>
    </w:p>
    <w:p w14:paraId="732A955A">
      <w:pPr>
        <w:keepNext w:val="0"/>
        <w:keepLines w:val="0"/>
        <w:pageBreakBefore w:val="0"/>
        <w:widowControl w:val="0"/>
        <w:numPr>
          <w:ilvl w:val="0"/>
          <w:numId w:val="0"/>
        </w:numPr>
        <w:tabs>
          <w:tab w:val="right" w:leader="dot" w:pos="8296"/>
        </w:tabs>
        <w:kinsoku/>
        <w:wordWrap/>
        <w:overflowPunct/>
        <w:topLinePunct w:val="0"/>
        <w:autoSpaceDE/>
        <w:autoSpaceDN/>
        <w:bidi w:val="0"/>
        <w:adjustRightInd/>
        <w:snapToGrid/>
        <w:spacing w:before="120" w:after="120" w:line="480" w:lineRule="exact"/>
        <w:ind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预算执行率：</w:t>
      </w:r>
      <w:r>
        <w:rPr>
          <w:rFonts w:hint="eastAsia" w:ascii="仿宋" w:hAnsi="仿宋" w:eastAsia="仿宋" w:cs="仿宋"/>
          <w:color w:val="auto"/>
          <w:kern w:val="0"/>
          <w:sz w:val="28"/>
          <w:szCs w:val="28"/>
          <w:lang w:val="en-US" w:eastAsia="zh-CN" w:bidi="ar"/>
        </w:rPr>
        <w:t>本</w:t>
      </w:r>
      <w:r>
        <w:rPr>
          <w:rFonts w:hint="eastAsia" w:ascii="仿宋" w:hAnsi="仿宋" w:eastAsia="仿宋" w:cs="仿宋"/>
          <w:color w:val="auto"/>
          <w:kern w:val="0"/>
          <w:sz w:val="28"/>
          <w:szCs w:val="28"/>
          <w:highlight w:val="none"/>
          <w:lang w:val="en-US" w:eastAsia="zh-CN" w:bidi="ar"/>
        </w:rPr>
        <w:t>项目预算金额750万元，截至2023年12月31日，资金执行940万元，资金执行率125.33%。</w:t>
      </w:r>
      <w:r>
        <w:rPr>
          <w:rFonts w:hint="eastAsia" w:ascii="仿宋" w:hAnsi="仿宋" w:eastAsia="仿宋" w:cs="仿宋"/>
          <w:color w:val="auto"/>
          <w:sz w:val="28"/>
          <w:szCs w:val="28"/>
          <w:highlight w:val="none"/>
        </w:rPr>
        <w:t>项</w:t>
      </w:r>
      <w:r>
        <w:rPr>
          <w:rFonts w:hint="eastAsia" w:ascii="仿宋" w:hAnsi="仿宋" w:eastAsia="仿宋" w:cs="仿宋"/>
          <w:sz w:val="28"/>
          <w:szCs w:val="28"/>
          <w:highlight w:val="none"/>
        </w:rPr>
        <w:t>目资金支出总体能够按照预算执行，根据评分标准，该指标扣</w:t>
      </w:r>
      <w:r>
        <w:rPr>
          <w:rFonts w:hint="eastAsia" w:ascii="仿宋" w:hAnsi="仿宋" w:eastAsia="仿宋" w:cs="仿宋"/>
          <w:sz w:val="28"/>
          <w:szCs w:val="28"/>
          <w:highlight w:val="none"/>
          <w:lang w:val="en-US" w:eastAsia="zh-CN"/>
        </w:rPr>
        <w:t>1.26</w:t>
      </w:r>
      <w:r>
        <w:rPr>
          <w:rFonts w:hint="eastAsia" w:ascii="仿宋" w:hAnsi="仿宋" w:eastAsia="仿宋" w:cs="仿宋"/>
          <w:sz w:val="28"/>
          <w:szCs w:val="28"/>
          <w:highlight w:val="none"/>
        </w:rPr>
        <w:t>分，得</w:t>
      </w:r>
      <w:r>
        <w:rPr>
          <w:rFonts w:hint="eastAsia" w:ascii="仿宋" w:hAnsi="仿宋" w:eastAsia="仿宋" w:cs="仿宋"/>
          <w:sz w:val="28"/>
          <w:szCs w:val="28"/>
          <w:highlight w:val="none"/>
          <w:lang w:val="en-US" w:eastAsia="zh-CN"/>
        </w:rPr>
        <w:t>3.74</w:t>
      </w:r>
      <w:r>
        <w:rPr>
          <w:rFonts w:hint="eastAsia" w:ascii="仿宋" w:hAnsi="仿宋" w:eastAsia="仿宋" w:cs="仿宋"/>
          <w:sz w:val="28"/>
          <w:szCs w:val="28"/>
          <w:highlight w:val="none"/>
        </w:rPr>
        <w:t>分。</w:t>
      </w:r>
    </w:p>
    <w:p w14:paraId="66205160">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（3）资金</w:t>
      </w:r>
      <w:r>
        <w:rPr>
          <w:rFonts w:hint="eastAsia" w:ascii="仿宋" w:hAnsi="仿宋" w:eastAsia="仿宋" w:cs="仿宋"/>
          <w:b/>
          <w:bCs/>
          <w:sz w:val="28"/>
          <w:szCs w:val="28"/>
          <w:highlight w:val="none"/>
          <w:lang w:val="en-US" w:eastAsia="zh-CN"/>
        </w:rPr>
        <w:t>使用合规性：</w:t>
      </w:r>
      <w:r>
        <w:rPr>
          <w:rFonts w:hint="eastAsia" w:ascii="仿宋" w:hAnsi="仿宋" w:eastAsia="仿宋" w:cs="仿宋"/>
          <w:color w:val="auto"/>
          <w:kern w:val="0"/>
          <w:sz w:val="28"/>
          <w:szCs w:val="28"/>
          <w:highlight w:val="none"/>
          <w:lang w:val="en-US" w:eastAsia="zh-CN" w:bidi="ar"/>
        </w:rPr>
        <w:t>根据自治区《关于批复自治区本级2024年部门预算的通知》（新财预〔2024〕1号）及《关于批复2024年直属单位预算的通知》新自然资函〔2024〕46号符合预算批复规定用途，不存在截留、挤占、挪用、虚列支出等情况，未发现违规使用情况</w:t>
      </w:r>
      <w:r>
        <w:rPr>
          <w:rFonts w:hint="eastAsia" w:ascii="仿宋" w:hAnsi="仿宋" w:eastAsia="仿宋" w:cs="仿宋"/>
          <w:color w:val="000000"/>
          <w:kern w:val="0"/>
          <w:sz w:val="28"/>
          <w:szCs w:val="28"/>
          <w:highlight w:val="none"/>
          <w:lang w:val="en-US" w:eastAsia="zh-CN" w:bidi="ar"/>
        </w:rPr>
        <w:t>，</w:t>
      </w:r>
      <w:r>
        <w:rPr>
          <w:rFonts w:hint="eastAsia" w:ascii="仿宋" w:hAnsi="仿宋" w:eastAsia="仿宋" w:cs="仿宋"/>
          <w:sz w:val="28"/>
          <w:szCs w:val="28"/>
          <w:highlight w:val="none"/>
        </w:rPr>
        <w:t>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p>
    <w:p w14:paraId="1ED118F6">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sz w:val="28"/>
          <w:szCs w:val="28"/>
          <w:highlight w:val="none"/>
          <w:lang w:val="en-US" w:eastAsia="zh-CN"/>
        </w:rPr>
        <w:t>新疆维吾尔自治区地质环境监测院</w:t>
      </w:r>
      <w:r>
        <w:rPr>
          <w:rFonts w:hint="eastAsia" w:ascii="仿宋" w:hAnsi="仿宋" w:eastAsia="仿宋" w:cs="仿宋"/>
          <w:color w:val="000000"/>
          <w:kern w:val="0"/>
          <w:sz w:val="28"/>
          <w:szCs w:val="28"/>
          <w:lang w:val="en-US" w:eastAsia="zh-CN" w:bidi="ar"/>
        </w:rPr>
        <w:t>财务制度》</w:t>
      </w:r>
      <w:r>
        <w:rPr>
          <w:rFonts w:hint="eastAsia" w:ascii="仿宋" w:hAnsi="仿宋" w:eastAsia="仿宋" w:cs="仿宋"/>
          <w:color w:val="auto"/>
          <w:kern w:val="0"/>
          <w:sz w:val="28"/>
          <w:szCs w:val="28"/>
          <w:lang w:val="en-US" w:eastAsia="zh-CN" w:bidi="ar"/>
        </w:rPr>
        <w:t>及经营市场资金</w:t>
      </w:r>
      <w:r>
        <w:rPr>
          <w:rFonts w:hint="eastAsia" w:ascii="仿宋" w:hAnsi="仿宋" w:eastAsia="仿宋" w:cs="仿宋"/>
          <w:color w:val="auto"/>
          <w:sz w:val="28"/>
          <w:szCs w:val="28"/>
          <w:highlight w:val="none"/>
        </w:rPr>
        <w:t>相关的制度和管理规定</w:t>
      </w:r>
      <w:r>
        <w:rPr>
          <w:rFonts w:hint="eastAsia" w:ascii="仿宋" w:hAnsi="仿宋" w:eastAsia="仿宋" w:cs="仿宋"/>
          <w:color w:val="auto"/>
          <w:kern w:val="0"/>
          <w:sz w:val="28"/>
          <w:szCs w:val="28"/>
          <w:lang w:val="en-US" w:eastAsia="zh-CN" w:bidi="ar"/>
        </w:rPr>
        <w:t>实施，</w:t>
      </w:r>
      <w:r>
        <w:rPr>
          <w:rFonts w:hint="eastAsia" w:ascii="仿宋" w:hAnsi="仿宋" w:eastAsia="仿宋" w:cs="仿宋"/>
          <w:color w:val="auto"/>
          <w:sz w:val="28"/>
          <w:szCs w:val="28"/>
          <w:highlight w:val="none"/>
        </w:rPr>
        <w:t>对财政专项资金进行严格管理，基本做到了专款专用，根</w:t>
      </w:r>
      <w:r>
        <w:rPr>
          <w:rFonts w:hint="eastAsia" w:ascii="仿宋" w:hAnsi="仿宋" w:eastAsia="仿宋" w:cs="仿宋"/>
          <w:sz w:val="28"/>
          <w:szCs w:val="28"/>
          <w:highlight w:val="none"/>
        </w:rPr>
        <w:t>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p>
    <w:p w14:paraId="112177F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val="en-US" w:eastAsia="zh-CN"/>
        </w:rPr>
        <w:t>院党总支扩大</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AA94438">
      <w:pPr>
        <w:pStyle w:val="5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（三）项目产出情况</w:t>
      </w:r>
    </w:p>
    <w:p w14:paraId="40458D9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FF0000"/>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分，得分率为</w:t>
      </w:r>
      <w:r>
        <w:rPr>
          <w:rFonts w:hint="eastAsia" w:ascii="仿宋" w:hAnsi="仿宋" w:eastAsia="仿宋" w:cs="仿宋"/>
          <w:color w:val="auto"/>
          <w:sz w:val="28"/>
          <w:szCs w:val="28"/>
          <w:highlight w:val="none"/>
          <w:lang w:val="en-US" w:eastAsia="zh-CN"/>
        </w:rPr>
        <w:t>87.5</w:t>
      </w:r>
      <w:r>
        <w:rPr>
          <w:rFonts w:hint="eastAsia" w:ascii="仿宋" w:hAnsi="仿宋" w:eastAsia="仿宋" w:cs="仿宋"/>
          <w:color w:val="auto"/>
          <w:sz w:val="28"/>
          <w:szCs w:val="28"/>
          <w:highlight w:val="none"/>
        </w:rPr>
        <w:t>%。</w:t>
      </w:r>
    </w:p>
    <w:p w14:paraId="7E7FF8EB">
      <w:pPr>
        <w:pStyle w:val="49"/>
        <w:keepNext w:val="0"/>
        <w:keepLines w:val="0"/>
        <w:pageBreakBefore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p>
    <w:p w14:paraId="63303B1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color w:val="FF0000"/>
          <w:sz w:val="28"/>
          <w:szCs w:val="28"/>
        </w:rPr>
      </w:pPr>
      <w:r>
        <w:rPr>
          <w:rFonts w:hint="eastAsia" w:ascii="仿宋" w:hAnsi="仿宋" w:eastAsia="仿宋" w:cs="仿宋"/>
          <w:sz w:val="28"/>
          <w:szCs w:val="28"/>
          <w:lang w:val="en-US" w:eastAsia="zh-CN"/>
        </w:rPr>
        <w:t>完成建设用地地质灾害危险性评估项目15个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color w:val="auto"/>
          <w:sz w:val="28"/>
          <w:szCs w:val="28"/>
        </w:rPr>
        <w:t>；</w:t>
      </w:r>
    </w:p>
    <w:p w14:paraId="3E323012">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lang w:val="en-US" w:eastAsia="zh-CN"/>
        </w:rPr>
        <w:t>完成监理项目13个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4A36C052">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完成地下水监测设备校核410组，</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5CE059E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lang w:val="en-US" w:eastAsia="zh-CN" w:bidi="ar-SA"/>
        </w:rPr>
        <w:t>完成监测井井深测量410个，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7C64C3D9">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完成监测站点辅助设施养护维修410个</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0EA18D3D">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6E94C609">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2</w:t>
      </w:r>
      <w:r>
        <w:rPr>
          <w:rFonts w:hint="eastAsia" w:ascii="仿宋" w:hAnsi="仿宋" w:eastAsia="仿宋" w:cs="仿宋"/>
          <w:b w:val="0"/>
          <w:bCs/>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质量</w:t>
      </w:r>
      <w:r>
        <w:rPr>
          <w:rFonts w:hint="eastAsia" w:ascii="仿宋" w:hAnsi="仿宋" w:eastAsia="仿宋" w:cs="仿宋"/>
          <w:b/>
          <w:bCs/>
          <w:sz w:val="28"/>
          <w:szCs w:val="28"/>
          <w:highlight w:val="none"/>
        </w:rPr>
        <w:t>”</w:t>
      </w:r>
    </w:p>
    <w:p w14:paraId="13C7C5A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地下水监测数据传输故障率0.25%，</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685D2AA3">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工作成果质量合格率100%，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3769791E">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监测井运行维护合格率，100%，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5BAF6009">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地下水均衡试验场运行故障率0%，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7F7EA8D3">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14:paraId="0F36FF0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（3）</w:t>
      </w:r>
      <w:r>
        <w:rPr>
          <w:rFonts w:hint="eastAsia" w:ascii="仿宋" w:hAnsi="仿宋" w:eastAsia="仿宋" w:cs="仿宋"/>
          <w:b/>
          <w:bCs/>
          <w:sz w:val="28"/>
          <w:szCs w:val="28"/>
          <w:highlight w:val="none"/>
        </w:rPr>
        <w:t>对于“产出</w:t>
      </w:r>
      <w:r>
        <w:rPr>
          <w:rFonts w:hint="eastAsia" w:ascii="仿宋" w:hAnsi="仿宋" w:eastAsia="仿宋" w:cs="仿宋"/>
          <w:b/>
          <w:bCs/>
          <w:sz w:val="28"/>
          <w:szCs w:val="28"/>
          <w:highlight w:val="none"/>
          <w:lang w:val="en-US" w:eastAsia="zh-CN"/>
        </w:rPr>
        <w:t>成本</w:t>
      </w:r>
      <w:r>
        <w:rPr>
          <w:rFonts w:hint="eastAsia" w:ascii="仿宋" w:hAnsi="仿宋" w:eastAsia="仿宋" w:cs="仿宋"/>
          <w:b/>
          <w:bCs/>
          <w:sz w:val="28"/>
          <w:szCs w:val="28"/>
          <w:highlight w:val="none"/>
        </w:rPr>
        <w:t>”</w:t>
      </w:r>
    </w:p>
    <w:p w14:paraId="256D3D80">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sz w:val="28"/>
          <w:szCs w:val="28"/>
          <w:highlight w:val="none"/>
          <w:u w:val="none"/>
          <w:lang w:val="en-US" w:eastAsia="zh-CN"/>
          <w14:textFill>
            <w14:solidFill>
              <w14:schemeClr w14:val="tx1"/>
            </w14:solidFill>
          </w14:textFill>
        </w:rPr>
        <w:t>建设用地地质灾害危险性评估项目经费，预期绩效目标≤185万元，实际完成值为615万元，偏差率为30%，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采取的措施：加强对市场变化的把控性及预算编制的精准性。根据评分标准，该指标扣5分，得0分；</w:t>
      </w:r>
    </w:p>
    <w:p w14:paraId="3B3F23E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项目监理费150万元，</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5AFC0F5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完成地下水监测站点运行维护工作经费0.43万元/个，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24BCA49F">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合计得15分。</w:t>
      </w:r>
    </w:p>
    <w:p w14:paraId="1FDB48D1">
      <w:pPr>
        <w:pStyle w:val="50"/>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（四）项目效益情况</w:t>
      </w:r>
    </w:p>
    <w:p w14:paraId="18C4F8FF">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个方面的内容，由</w:t>
      </w:r>
      <w:r>
        <w:rPr>
          <w:rFonts w:hint="eastAsia" w:ascii="仿宋" w:hAnsi="仿宋" w:eastAsia="仿宋" w:cs="仿宋"/>
          <w:sz w:val="28"/>
          <w:szCs w:val="28"/>
          <w:highlight w:val="none"/>
          <w:lang w:val="en-US" w:eastAsia="zh-CN"/>
        </w:rPr>
        <w:t>1个</w:t>
      </w:r>
      <w:r>
        <w:rPr>
          <w:rFonts w:hint="eastAsia" w:ascii="仿宋" w:hAnsi="仿宋" w:eastAsia="仿宋" w:cs="仿宋"/>
          <w:sz w:val="28"/>
          <w:szCs w:val="28"/>
          <w:highlight w:val="none"/>
        </w:rPr>
        <w:t>三级指标构成，权重分为</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0分，实际得分</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分，得分率为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05D4634A">
      <w:pPr>
        <w:numPr>
          <w:ilvl w:val="0"/>
          <w:numId w:val="2"/>
        </w:numPr>
        <w:overflowPunct w:val="0"/>
        <w:spacing w:line="560" w:lineRule="exact"/>
        <w:ind w:left="562" w:leftChars="0" w:firstLine="0" w:firstLineChars="0"/>
        <w:contextualSpacing/>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实施效益指标：</w:t>
      </w:r>
    </w:p>
    <w:p w14:paraId="12E7E0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14:paraId="6CD26128">
      <w:pPr>
        <w:spacing w:line="560" w:lineRule="exact"/>
        <w:ind w:firstLine="560" w:firstLineChars="0"/>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14:paraId="495535EB">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14:paraId="589B2D62">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有效提高我区地质灾害防治能力，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45879BE8">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 w:val="0"/>
          <w:bCs/>
          <w:color w:val="000000" w:themeColor="text1"/>
          <w:kern w:val="2"/>
          <w:sz w:val="28"/>
          <w:szCs w:val="28"/>
          <w:highlight w:val="none"/>
          <w:u w:val="none"/>
          <w:lang w:val="en-US" w:eastAsia="zh-CN"/>
          <w14:textFill>
            <w14:solidFill>
              <w14:schemeClr w14:val="tx1"/>
            </w14:solidFill>
          </w14:textFill>
        </w:rPr>
        <w:t>有效提升我区地下水资源监测能力，</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14:paraId="4BAECBA5">
      <w:pPr>
        <w:pStyle w:val="49"/>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实施效益指标合计得20分。</w:t>
      </w:r>
    </w:p>
    <w:p w14:paraId="04BFDBAE">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14:paraId="17EF3F66">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lang w:val="en-US" w:eastAsia="zh-CN"/>
        </w:rPr>
        <w:t>新疆地质市场经营项目</w:t>
      </w:r>
      <w:r>
        <w:rPr>
          <w:rFonts w:hint="eastAsia" w:ascii="仿宋" w:hAnsi="仿宋" w:eastAsia="仿宋" w:cs="仿宋"/>
          <w:sz w:val="28"/>
          <w:szCs w:val="28"/>
          <w:lang w:val="en-US" w:eastAsia="zh-Hans"/>
        </w:rPr>
        <w:t>预算</w:t>
      </w:r>
      <w:r>
        <w:rPr>
          <w:rFonts w:hint="eastAsia" w:ascii="仿宋" w:hAnsi="仿宋" w:eastAsia="仿宋" w:cs="仿宋"/>
          <w:sz w:val="28"/>
          <w:szCs w:val="28"/>
          <w:lang w:val="en-US" w:eastAsia="zh-CN"/>
        </w:rPr>
        <w:t>750万元</w:t>
      </w:r>
      <w:r>
        <w:rPr>
          <w:rFonts w:hint="eastAsia" w:ascii="仿宋" w:hAnsi="仿宋" w:eastAsia="仿宋" w:cs="仿宋"/>
          <w:sz w:val="28"/>
          <w:szCs w:val="28"/>
          <w:lang w:val="en-US" w:eastAsia="zh-Hans"/>
        </w:rPr>
        <w:t>，到位</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，实际支出</w:t>
      </w:r>
      <w:r>
        <w:rPr>
          <w:rFonts w:hint="eastAsia" w:ascii="仿宋" w:hAnsi="仿宋" w:eastAsia="仿宋" w:cs="仿宋"/>
          <w:sz w:val="28"/>
          <w:szCs w:val="28"/>
          <w:lang w:val="en-US" w:eastAsia="zh-CN"/>
        </w:rPr>
        <w:t>940万元</w:t>
      </w:r>
      <w:r>
        <w:rPr>
          <w:rFonts w:hint="eastAsia" w:ascii="仿宋" w:hAnsi="仿宋" w:eastAsia="仿宋" w:cs="仿宋"/>
          <w:sz w:val="28"/>
          <w:szCs w:val="28"/>
          <w:lang w:val="en-US" w:eastAsia="zh-Hans"/>
        </w:rPr>
        <w:t>，预算执行率为</w:t>
      </w:r>
      <w:r>
        <w:rPr>
          <w:rFonts w:hint="eastAsia" w:ascii="仿宋" w:hAnsi="仿宋" w:eastAsia="仿宋" w:cs="仿宋"/>
          <w:sz w:val="28"/>
          <w:szCs w:val="28"/>
          <w:lang w:val="en-US" w:eastAsia="zh-CN"/>
        </w:rPr>
        <w:t>125.33</w:t>
      </w:r>
      <w:r>
        <w:rPr>
          <w:rFonts w:hint="eastAsia" w:ascii="仿宋" w:hAnsi="仿宋" w:eastAsia="仿宋" w:cs="仿宋"/>
          <w:sz w:val="28"/>
          <w:szCs w:val="28"/>
          <w:lang w:val="en-US" w:eastAsia="zh-Hans"/>
        </w:rPr>
        <w:t>%，项目绩效指标总体完成率为100%，偏差率为</w:t>
      </w:r>
      <w:r>
        <w:rPr>
          <w:rFonts w:hint="eastAsia" w:ascii="仿宋" w:hAnsi="仿宋" w:eastAsia="仿宋" w:cs="仿宋"/>
          <w:sz w:val="28"/>
          <w:szCs w:val="28"/>
          <w:lang w:val="en-US" w:eastAsia="zh-CN"/>
        </w:rPr>
        <w:t>25.33</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偏差原因我院与各油田公司以签订1-2年度框架合同为主，实施过程中具体项目按工作量进行结算。因年度框架合同金额均以估算为准，且一般签订2个年度，金额较大，后期项目实施数量具有不确定性，具体结算以安排实施的项目为准，收入出现偏差，导致支出出现相应的偏差。采取的措施加强对市场变化的把控性及预算编制的精准性</w:t>
      </w:r>
      <w:r>
        <w:rPr>
          <w:rFonts w:hint="eastAsia" w:ascii="仿宋" w:hAnsi="仿宋" w:eastAsia="仿宋" w:cs="仿宋"/>
          <w:sz w:val="28"/>
          <w:szCs w:val="28"/>
          <w:lang w:val="en-US" w:eastAsia="zh-Hans"/>
        </w:rPr>
        <w:t>。</w:t>
      </w:r>
      <w:r>
        <w:rPr>
          <w:rFonts w:hint="eastAsia" w:ascii="仿宋" w:hAnsi="仿宋" w:eastAsia="仿宋" w:cs="仿宋"/>
          <w:sz w:val="28"/>
          <w:szCs w:val="28"/>
          <w:lang w:val="en-US" w:eastAsia="zh-CN"/>
        </w:rPr>
        <w:t>在项目实施过程中，加强对项目的监管，严格把控项目执行进度，尽可能使项目执行进度与预算执行进度相匹配，但由于经营市场具有不稳定性，使得预算执行进度与绩效指标存在一定的偏差。</w:t>
      </w:r>
    </w:p>
    <w:p w14:paraId="41DE5EF1">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14:paraId="44C6F2A6">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rPr>
        <w:t>（一）主要经验及做法</w:t>
      </w:r>
    </w:p>
    <w:p w14:paraId="0F7900AA">
      <w:pPr>
        <w:keepNext w:val="0"/>
        <w:keepLines w:val="0"/>
        <w:pageBreakBefore w:val="0"/>
        <w:kinsoku/>
        <w:wordWrap/>
        <w:overflowPunct/>
        <w:topLinePunct w:val="0"/>
        <w:autoSpaceDE/>
        <w:autoSpaceDN/>
        <w:bidi w:val="0"/>
        <w:adjustRightInd/>
        <w:snapToGrid/>
        <w:spacing w:line="480" w:lineRule="exact"/>
        <w:ind w:left="0" w:leftChars="0" w:firstLine="544" w:firstLineChars="200"/>
        <w:textAlignment w:val="auto"/>
        <w:rPr>
          <w:rFonts w:hint="eastAsia" w:ascii="仿宋" w:hAnsi="仿宋" w:eastAsia="仿宋" w:cs="仿宋"/>
          <w:sz w:val="28"/>
          <w:szCs w:val="28"/>
        </w:rPr>
      </w:pPr>
      <w:r>
        <w:rPr>
          <w:rStyle w:val="21"/>
          <w:rFonts w:hint="eastAsia" w:ascii="仿宋" w:hAnsi="仿宋" w:eastAsia="仿宋" w:cs="仿宋"/>
          <w:b w:val="0"/>
          <w:bCs/>
          <w:spacing w:val="-4"/>
          <w:sz w:val="28"/>
          <w:szCs w:val="28"/>
          <w:lang w:val="en-US" w:eastAsia="zh-CN"/>
        </w:rPr>
        <w:t>一是细化分工，夯实责任。市场项目</w:t>
      </w:r>
      <w:r>
        <w:rPr>
          <w:rFonts w:hint="eastAsia" w:ascii="仿宋" w:hAnsi="仿宋" w:eastAsia="仿宋" w:cs="仿宋"/>
          <w:b w:val="0"/>
          <w:bCs/>
          <w:sz w:val="28"/>
          <w:szCs w:val="28"/>
          <w:lang w:val="en-US" w:eastAsia="zh-CN"/>
        </w:rPr>
        <w:t>主要由三部分组成，每一部分都有专人负责推进落实，切实做到</w:t>
      </w:r>
      <w:r>
        <w:rPr>
          <w:rFonts w:hint="eastAsia" w:ascii="仿宋" w:hAnsi="仿宋" w:eastAsia="仿宋" w:cs="仿宋"/>
          <w:sz w:val="28"/>
          <w:szCs w:val="28"/>
          <w:lang w:val="en-US" w:eastAsia="zh-CN"/>
        </w:rPr>
        <w:t>项目有人顶盯、项目有人管、项目有人负责。二是加强合作，齐抓共管。项目推进不是一人一部门的事，需要统筹协调，共同谋划时，全院所有科室会共同参与，加强沟通协作，切实保障项目的顺利实施。三是凝心聚力，提质增效。所有科室密切配合，不但加快项目实施进度，所有人员集思广益，建言献策，也在项目推进过程中保障了项目质量。同时，</w:t>
      </w:r>
      <w:r>
        <w:rPr>
          <w:rFonts w:hint="eastAsia" w:ascii="仿宋" w:hAnsi="仿宋" w:eastAsia="仿宋" w:cs="仿宋"/>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E56C9B4">
      <w:pPr>
        <w:pStyle w:val="18"/>
        <w:keepNext w:val="0"/>
        <w:keepLines w:val="0"/>
        <w:pageBreakBefore w:val="0"/>
        <w:kinsoku/>
        <w:wordWrap/>
        <w:overflowPunct/>
        <w:topLinePunct w:val="0"/>
        <w:autoSpaceDE/>
        <w:autoSpaceDN/>
        <w:bidi w:val="0"/>
        <w:adjustRightInd/>
        <w:snapToGrid/>
        <w:spacing w:before="0" w:after="0" w:line="480" w:lineRule="exact"/>
        <w:ind w:left="0" w:lef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55CC65A">
      <w:pPr>
        <w:keepNext w:val="0"/>
        <w:keepLines w:val="0"/>
        <w:pageBreakBefore w:val="0"/>
        <w:kinsoku/>
        <w:wordWrap/>
        <w:overflowPunct/>
        <w:topLinePunct w:val="0"/>
        <w:autoSpaceDE/>
        <w:autoSpaceDN/>
        <w:bidi w:val="0"/>
        <w:adjustRightInd/>
        <w:snapToGrid/>
        <w:spacing w:line="480" w:lineRule="exact"/>
        <w:ind w:left="0" w:leftChars="0" w:firstLine="546" w:firstLineChars="200"/>
        <w:textAlignment w:val="auto"/>
        <w:rPr>
          <w:rStyle w:val="21"/>
          <w:rFonts w:hint="eastAsia" w:ascii="仿宋" w:hAnsi="仿宋" w:eastAsia="仿宋" w:cs="仿宋"/>
          <w:b/>
          <w:bCs w:val="0"/>
          <w:spacing w:val="-4"/>
          <w:sz w:val="28"/>
          <w:szCs w:val="28"/>
        </w:rPr>
      </w:pP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lang w:val="en-US" w:eastAsia="zh-CN"/>
        </w:rPr>
        <w:t>二</w:t>
      </w:r>
      <w:r>
        <w:rPr>
          <w:rStyle w:val="21"/>
          <w:rFonts w:hint="eastAsia" w:ascii="仿宋" w:hAnsi="仿宋" w:eastAsia="仿宋" w:cs="仿宋"/>
          <w:b/>
          <w:bCs w:val="0"/>
          <w:spacing w:val="-4"/>
          <w:sz w:val="28"/>
          <w:szCs w:val="28"/>
          <w:lang w:eastAsia="zh-CN"/>
        </w:rPr>
        <w:t>）</w:t>
      </w:r>
      <w:r>
        <w:rPr>
          <w:rStyle w:val="21"/>
          <w:rFonts w:hint="eastAsia" w:ascii="仿宋" w:hAnsi="仿宋" w:eastAsia="仿宋" w:cs="仿宋"/>
          <w:b/>
          <w:bCs w:val="0"/>
          <w:spacing w:val="-4"/>
          <w:sz w:val="28"/>
          <w:szCs w:val="28"/>
        </w:rPr>
        <w:t>存在问题及原因分析</w:t>
      </w:r>
    </w:p>
    <w:p w14:paraId="6811B585">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4" w:firstLineChars="200"/>
        <w:jc w:val="left"/>
        <w:textAlignment w:val="auto"/>
        <w:rPr>
          <w:rFonts w:hint="eastAsia" w:ascii="仿宋" w:hAnsi="仿宋" w:eastAsia="仿宋" w:cs="仿宋"/>
          <w:b/>
          <w:bCs/>
          <w:color w:val="333333"/>
          <w:spacing w:val="8"/>
          <w:sz w:val="28"/>
          <w:szCs w:val="28"/>
          <w:shd w:val="clear" w:color="auto" w:fill="FFFFFF"/>
          <w:lang w:val="en-US" w:eastAsia="zh-CN"/>
        </w:rPr>
      </w:pPr>
      <w:r>
        <w:rPr>
          <w:rFonts w:hint="eastAsia" w:ascii="仿宋" w:hAnsi="仿宋" w:eastAsia="仿宋" w:cs="仿宋"/>
          <w:b/>
          <w:bCs/>
          <w:color w:val="333333"/>
          <w:spacing w:val="8"/>
          <w:sz w:val="28"/>
          <w:szCs w:val="28"/>
          <w:shd w:val="clear" w:color="auto" w:fill="FFFFFF"/>
          <w:lang w:val="en-US" w:eastAsia="zh-CN"/>
        </w:rPr>
        <w:t>1.存在问题</w:t>
      </w:r>
    </w:p>
    <w:p w14:paraId="5A51F158">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绩效监控的观念不够深入人心。长期以来形成的以投入为导向的管理模式让人们仍将预算的编制和分配情况作为重点，对支出过程及结果关注不够，对于资金使用与项目执行进度的关系没有正确的认识，认为资金在使用过程中只要能够合法合规，按计划完成任务就行，至于如何让资金使用效益最大化缺乏思考。</w:t>
      </w:r>
    </w:p>
    <w:p w14:paraId="548D7574">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绩效目标设立不合理。目前，各科室对项目绩效目标设立不明确，资金分配和使用责任落实不到位;预算执行中也缺乏相应的绩效运行跟踪监控措施，仅限于日常监控及执行进度监控;事后的绩效评价，一般也仅局限于财政支出绩效评价，没有从项目设计的合理性等进行分析。</w:t>
      </w:r>
    </w:p>
    <w:p w14:paraId="39605477">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价指标设计相对单一。实际工作中，业务科室绩效指标设置较为粗放，指标权重的确定、定性指标的衡量等缺乏科学的方法。由于对绩效监控工作的认识不足，造成业务科室在设定项目绩效评价指标很难反映真实的绩效情况，势必就造成了这些指标“形同虚设”，在绩效监控过程中，对绩效指标的衡量与评价就出现了偏差。</w:t>
      </w:r>
    </w:p>
    <w:p w14:paraId="2E2B522A">
      <w:pPr>
        <w:keepNext w:val="0"/>
        <w:keepLines w:val="0"/>
        <w:pageBreakBefore w:val="0"/>
        <w:numPr>
          <w:ilvl w:val="0"/>
          <w:numId w:val="0"/>
        </w:numPr>
        <w:kinsoku/>
        <w:wordWrap/>
        <w:overflowPunct/>
        <w:topLinePunct w:val="0"/>
        <w:autoSpaceDE/>
        <w:autoSpaceDN/>
        <w:bidi w:val="0"/>
        <w:adjustRightInd/>
        <w:snapToGrid/>
        <w:spacing w:line="480" w:lineRule="exact"/>
        <w:ind w:left="0" w:leftChars="0" w:firstLine="592" w:firstLineChars="200"/>
        <w:jc w:val="left"/>
        <w:textAlignment w:val="auto"/>
        <w:rPr>
          <w:rFonts w:hint="eastAsia" w:ascii="仿宋" w:hAnsi="仿宋" w:eastAsia="仿宋" w:cs="仿宋"/>
          <w:color w:val="333333"/>
          <w:spacing w:val="8"/>
          <w:sz w:val="28"/>
          <w:szCs w:val="28"/>
          <w:shd w:val="clear" w:color="auto" w:fill="FFFFFF"/>
        </w:rPr>
      </w:pPr>
      <w:r>
        <w:rPr>
          <w:rFonts w:hint="eastAsia" w:ascii="仿宋" w:hAnsi="仿宋" w:eastAsia="仿宋" w:cs="仿宋"/>
          <w:color w:val="333333"/>
          <w:spacing w:val="8"/>
          <w:sz w:val="28"/>
          <w:szCs w:val="28"/>
          <w:shd w:val="clear" w:color="auto" w:fill="FFFFFF"/>
          <w:lang w:val="en-US" w:eastAsia="zh-CN"/>
        </w:rPr>
        <w:t>2.</w:t>
      </w:r>
      <w:r>
        <w:rPr>
          <w:rFonts w:hint="eastAsia" w:ascii="仿宋" w:hAnsi="仿宋" w:eastAsia="仿宋" w:cs="仿宋"/>
          <w:b/>
          <w:bCs/>
          <w:color w:val="333333"/>
          <w:spacing w:val="8"/>
          <w:sz w:val="28"/>
          <w:szCs w:val="28"/>
          <w:shd w:val="clear" w:color="auto" w:fill="FFFFFF"/>
        </w:rPr>
        <w:t>问题产生的原因</w:t>
      </w:r>
    </w:p>
    <w:p w14:paraId="2AD50551">
      <w:pPr>
        <w:keepNext w:val="0"/>
        <w:keepLines w:val="0"/>
        <w:pageBreakBefore w:val="0"/>
        <w:kinsoku/>
        <w:wordWrap/>
        <w:overflowPunct/>
        <w:topLinePunct w:val="0"/>
        <w:autoSpaceDE/>
        <w:autoSpaceDN/>
        <w:bidi w:val="0"/>
        <w:adjustRightInd/>
        <w:snapToGrid/>
        <w:spacing w:line="480" w:lineRule="exact"/>
        <w:ind w:left="0" w:leftChars="0" w:firstLine="592" w:firstLineChars="200"/>
        <w:textAlignment w:val="auto"/>
        <w:rPr>
          <w:rFonts w:hint="eastAsia" w:ascii="仿宋" w:hAnsi="仿宋" w:eastAsia="仿宋" w:cs="仿宋"/>
          <w:sz w:val="28"/>
          <w:szCs w:val="28"/>
        </w:rPr>
      </w:pPr>
      <w:r>
        <w:rPr>
          <w:rFonts w:hint="eastAsia" w:ascii="仿宋" w:hAnsi="仿宋" w:eastAsia="仿宋" w:cs="仿宋"/>
          <w:color w:val="333333"/>
          <w:spacing w:val="8"/>
          <w:sz w:val="28"/>
          <w:szCs w:val="28"/>
          <w:shd w:val="clear" w:color="auto" w:fill="FFFFFF"/>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缺少专业的绩效监控管理人员，造成技术上的缺陷。绩效监控工作涉及项目业务、财务、效益等方面知识，能全面掌握这些知识的人员较少，特别是能对效益方面进行较好评价的人才更加缺乏，无论是精力上还是素质方面，这些人员都无法很好地承担预算绩效管理这项综合性的工作。</w:t>
      </w:r>
    </w:p>
    <w:p w14:paraId="547186CA">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绩效监控管理制度体系不够完善。一是指标体系和评价方法不够完善。一方面是缺乏统一、科学、合理的预算绩效管理指标体系，导致致各业务科室绩效评价指标单一，设置粗放。二是绩效评价结果未充分应用，阻碍因素较多。一方面项目从投入到产出，再到效益发挥，需要一个较长的过程。而现实工作中，往往项目完成后就开始进行绩效评价，项目效益远未充分体现，甚至于根本就没有体现出来，就开始评价，只得降低评价的指标要求。另一方面如果在项目效益充分发挥后再进行评价，有可能时间跨度过长，对一些连续性的项目，也无法运用评价结果，及时调整预算。三是评价结果的预算绩效监控管理也缺乏激励机制和长效机制。由于没有相关具有法律效力的法规制度约束，造成责任追究机制不到位，评价结果得不到很好的应用，各科室不能应用评价结果进行有效的预算绩效分析和改进。</w:t>
      </w:r>
    </w:p>
    <w:p w14:paraId="373048AB">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14:paraId="140016EC">
      <w:pPr>
        <w:ind w:firstLine="560" w:firstLineChars="200"/>
        <w:rPr>
          <w:rFonts w:hint="eastAsia" w:ascii="仿宋" w:hAnsi="仿宋" w:eastAsia="仿宋" w:cs="仿宋"/>
          <w:sz w:val="28"/>
          <w:szCs w:val="28"/>
        </w:rPr>
      </w:pPr>
      <w:r>
        <w:rPr>
          <w:rFonts w:hint="eastAsia" w:ascii="仿宋" w:hAnsi="仿宋" w:eastAsia="仿宋" w:cs="仿宋"/>
          <w:b w:val="0"/>
          <w:bCs w:val="0"/>
          <w:sz w:val="28"/>
          <w:szCs w:val="28"/>
          <w:highlight w:val="none"/>
        </w:rPr>
        <w:t>进一步加强对绩效管理工作</w:t>
      </w:r>
      <w:r>
        <w:rPr>
          <w:rFonts w:hint="eastAsia" w:ascii="仿宋" w:hAnsi="仿宋" w:eastAsia="仿宋" w:cs="仿宋"/>
          <w:b w:val="0"/>
          <w:bCs w:val="0"/>
          <w:sz w:val="28"/>
          <w:szCs w:val="28"/>
        </w:rPr>
        <w:t>的</w:t>
      </w:r>
      <w:r>
        <w:rPr>
          <w:rFonts w:hint="eastAsia" w:ascii="仿宋" w:hAnsi="仿宋" w:eastAsia="仿宋" w:cs="仿宋"/>
          <w:sz w:val="28"/>
          <w:szCs w:val="28"/>
        </w:rPr>
        <w:t>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F217029">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健全评价指标体系。结合绩效评价对象特点和我院绩效评价工作实际开展的需要，设计更加科学、合理的个性指标，力求更加全面完整、客观真实地反映评价对象实施的绩效情况，并逐步形成涵盖各类支出，突出绩效特色，细化、量化的统一绩效指标。</w:t>
      </w:r>
    </w:p>
    <w:p w14:paraId="08AEB2F4">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提升队伍素质。我们必须不断加强学习，通过各种形式的学习培训，提升自身的业务素质，不仅要自己知道怎么做，还要能够让别人知道怎么做。</w:t>
      </w:r>
    </w:p>
    <w:p w14:paraId="200A0C3B">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注重宣传引导，营造推进绩效评价工作的良好氛围。我们将积极采取措施，开展对绩效评价工作重要性的宣传。同时我们还应注意调动各方面的积极性，善于利用各方面的力量，加强沟通联系，多听取意见，做好解释、说明工作，达到相互理解、配合和支持，形成共识，推动绩效评价工作的开展。</w:t>
      </w:r>
    </w:p>
    <w:p w14:paraId="546B2763">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14:paraId="2387037C">
      <w:pPr>
        <w:keepNext w:val="0"/>
        <w:keepLines w:val="0"/>
        <w:pageBreakBefore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14:paraId="72BF2A0D">
      <w:pPr>
        <w:pStyle w:val="49"/>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val="en-US" w:eastAsia="zh-CN"/>
        </w:rPr>
      </w:pPr>
    </w:p>
    <w:p w14:paraId="20DC5F69">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w:t>
      </w:r>
      <w:r>
        <w:rPr>
          <w:rFonts w:hint="eastAsia" w:ascii="仿宋" w:hAnsi="仿宋" w:eastAsia="仿宋" w:cs="仿宋"/>
          <w:b w:val="0"/>
          <w:bCs w:val="0"/>
          <w:sz w:val="28"/>
          <w:szCs w:val="28"/>
        </w:rPr>
        <w:t>新疆地质</w:t>
      </w:r>
      <w:r>
        <w:rPr>
          <w:rFonts w:hint="eastAsia" w:ascii="仿宋" w:hAnsi="仿宋" w:eastAsia="仿宋" w:cs="仿宋"/>
          <w:b w:val="0"/>
          <w:bCs w:val="0"/>
          <w:sz w:val="28"/>
          <w:szCs w:val="28"/>
          <w:lang w:val="en-US" w:eastAsia="zh-CN"/>
        </w:rPr>
        <w:t>市场经营</w:t>
      </w:r>
      <w:r>
        <w:rPr>
          <w:rFonts w:hint="eastAsia" w:ascii="仿宋" w:hAnsi="仿宋" w:eastAsia="仿宋" w:cs="仿宋"/>
          <w:sz w:val="28"/>
          <w:szCs w:val="28"/>
          <w:highlight w:val="none"/>
          <w:lang w:val="en-US" w:eastAsia="zh-CN"/>
        </w:rPr>
        <w:t>项目绩效评价指标体系及评分标准</w:t>
      </w:r>
    </w:p>
    <w:p w14:paraId="12376042">
      <w:pPr>
        <w:pStyle w:val="49"/>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tbl>
      <w:tblPr>
        <w:tblStyle w:val="19"/>
        <w:tblW w:w="85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6"/>
        <w:gridCol w:w="750"/>
        <w:gridCol w:w="911"/>
        <w:gridCol w:w="5008"/>
        <w:gridCol w:w="1039"/>
      </w:tblGrid>
      <w:tr w14:paraId="22641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trPr>
        <w:tc>
          <w:tcPr>
            <w:tcW w:w="8574" w:type="dxa"/>
            <w:gridSpan w:val="5"/>
            <w:shd w:val="clear" w:color="auto" w:fill="BFBFBF"/>
            <w:vAlign w:val="center"/>
          </w:tcPr>
          <w:p w14:paraId="6DF55BF2">
            <w:pPr>
              <w:rPr>
                <w:b/>
                <w:bCs/>
                <w:color w:val="000000"/>
                <w:kern w:val="0"/>
                <w:sz w:val="22"/>
                <w:szCs w:val="22"/>
              </w:rPr>
            </w:pPr>
            <w:r>
              <w:rPr>
                <w:rFonts w:hint="eastAsia" w:ascii="宋体" w:hAnsi="宋体" w:eastAsia="宋体" w:cs="宋体"/>
                <w:b/>
                <w:bCs/>
                <w:i w:val="0"/>
                <w:iCs w:val="0"/>
                <w:color w:val="000000"/>
                <w:kern w:val="0"/>
                <w:sz w:val="28"/>
                <w:szCs w:val="28"/>
                <w:u w:val="none"/>
                <w:lang w:val="en-US" w:eastAsia="zh-CN" w:bidi="ar"/>
              </w:rPr>
              <w:t>附件1：综合评分表</w:t>
            </w:r>
          </w:p>
        </w:tc>
      </w:tr>
      <w:tr w14:paraId="48B5B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74" w:type="dxa"/>
            <w:gridSpan w:val="5"/>
            <w:shd w:val="clear" w:color="auto" w:fill="FFFFFF"/>
            <w:vAlign w:val="center"/>
          </w:tcPr>
          <w:p w14:paraId="6F7F5026">
            <w:pPr>
              <w:keepNext w:val="0"/>
              <w:keepLines w:val="0"/>
              <w:widowControl/>
              <w:suppressLineNumbers w:val="0"/>
              <w:jc w:val="center"/>
              <w:textAlignment w:val="center"/>
              <w:rPr>
                <w:color w:val="000000"/>
                <w:kern w:val="0"/>
                <w:sz w:val="22"/>
                <w:szCs w:val="22"/>
                <w:highlight w:val="none"/>
              </w:rPr>
            </w:pPr>
            <w:r>
              <w:rPr>
                <w:rFonts w:hint="eastAsia" w:ascii="宋体" w:hAnsi="宋体" w:eastAsia="宋体" w:cs="宋体"/>
                <w:b/>
                <w:bCs/>
                <w:i w:val="0"/>
                <w:iCs w:val="0"/>
                <w:color w:val="000000"/>
                <w:kern w:val="0"/>
                <w:sz w:val="32"/>
                <w:szCs w:val="32"/>
                <w:u w:val="none"/>
                <w:lang w:val="en-US" w:eastAsia="zh-CN" w:bidi="ar"/>
              </w:rPr>
              <w:t>2023年度新疆地质市场经营项目绩效评价指标体系及评分标准</w:t>
            </w:r>
          </w:p>
        </w:tc>
      </w:tr>
      <w:tr w14:paraId="58069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14:paraId="61E40542">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一级指标</w:t>
            </w:r>
          </w:p>
        </w:tc>
        <w:tc>
          <w:tcPr>
            <w:tcW w:w="750" w:type="dxa"/>
            <w:shd w:val="clear" w:color="auto" w:fill="FFFFFF"/>
            <w:vAlign w:val="center"/>
          </w:tcPr>
          <w:p w14:paraId="2D94D68B">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二级指标</w:t>
            </w:r>
          </w:p>
        </w:tc>
        <w:tc>
          <w:tcPr>
            <w:tcW w:w="911" w:type="dxa"/>
            <w:shd w:val="clear" w:color="auto" w:fill="FFFFFF"/>
            <w:vAlign w:val="center"/>
          </w:tcPr>
          <w:p w14:paraId="1EBD7F9E">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b/>
                <w:bCs/>
                <w:i w:val="0"/>
                <w:iCs w:val="0"/>
                <w:color w:val="000000"/>
                <w:kern w:val="0"/>
                <w:sz w:val="24"/>
                <w:szCs w:val="24"/>
                <w:u w:val="none"/>
                <w:lang w:val="en-US" w:eastAsia="zh-CN" w:bidi="ar"/>
              </w:rPr>
              <w:t>三级指标</w:t>
            </w:r>
          </w:p>
        </w:tc>
        <w:tc>
          <w:tcPr>
            <w:tcW w:w="5008" w:type="dxa"/>
            <w:shd w:val="clear" w:color="auto" w:fill="FFFFFF"/>
            <w:vAlign w:val="center"/>
          </w:tcPr>
          <w:p w14:paraId="308DADF2">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评价标准</w:t>
            </w:r>
          </w:p>
        </w:tc>
        <w:tc>
          <w:tcPr>
            <w:tcW w:w="1039" w:type="dxa"/>
            <w:shd w:val="clear" w:color="auto" w:fill="FFFFFF"/>
            <w:vAlign w:val="center"/>
          </w:tcPr>
          <w:p w14:paraId="55801F44">
            <w:pPr>
              <w:keepNext w:val="0"/>
              <w:keepLines w:val="0"/>
              <w:widowControl/>
              <w:suppressLineNumbers w:val="0"/>
              <w:jc w:val="center"/>
              <w:textAlignment w:val="center"/>
              <w:rPr>
                <w:color w:val="000000"/>
                <w:kern w:val="0"/>
                <w:sz w:val="22"/>
                <w:szCs w:val="22"/>
                <w:highlight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得分</w:t>
            </w:r>
          </w:p>
        </w:tc>
      </w:tr>
      <w:tr w14:paraId="155B6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6B271511">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决策（20分）</w:t>
            </w:r>
          </w:p>
        </w:tc>
        <w:tc>
          <w:tcPr>
            <w:tcW w:w="750" w:type="dxa"/>
            <w:vMerge w:val="restart"/>
            <w:shd w:val="clear" w:color="auto" w:fill="FFFFFF"/>
            <w:vAlign w:val="center"/>
          </w:tcPr>
          <w:p w14:paraId="29922767">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项目立项（5分）</w:t>
            </w:r>
          </w:p>
        </w:tc>
        <w:tc>
          <w:tcPr>
            <w:tcW w:w="911" w:type="dxa"/>
            <w:shd w:val="clear" w:color="auto" w:fill="FFFFFF"/>
            <w:vAlign w:val="center"/>
          </w:tcPr>
          <w:p w14:paraId="5D230229">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立项依据充分性（3分）</w:t>
            </w:r>
          </w:p>
        </w:tc>
        <w:tc>
          <w:tcPr>
            <w:tcW w:w="5008" w:type="dxa"/>
            <w:shd w:val="clear" w:color="auto" w:fill="FFFFFF"/>
            <w:vAlign w:val="top"/>
          </w:tcPr>
          <w:p w14:paraId="3F085942">
            <w:pPr>
              <w:keepNext w:val="0"/>
              <w:keepLines w:val="0"/>
              <w:widowControl/>
              <w:suppressLineNumbers w:val="0"/>
              <w:jc w:val="both"/>
              <w:textAlignment w:val="top"/>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039" w:type="dxa"/>
            <w:shd w:val="clear" w:color="000000" w:fill="FFFFFF"/>
            <w:vAlign w:val="center"/>
          </w:tcPr>
          <w:p w14:paraId="795D4BE8">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2EDEB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19956A84">
            <w:pPr>
              <w:jc w:val="center"/>
              <w:rPr>
                <w:color w:val="000000"/>
                <w:kern w:val="0"/>
                <w:sz w:val="22"/>
                <w:szCs w:val="22"/>
              </w:rPr>
            </w:pPr>
          </w:p>
        </w:tc>
        <w:tc>
          <w:tcPr>
            <w:tcW w:w="750" w:type="dxa"/>
            <w:vMerge w:val="continue"/>
            <w:shd w:val="clear" w:color="auto" w:fill="FFFFFF"/>
            <w:vAlign w:val="center"/>
          </w:tcPr>
          <w:p w14:paraId="14316F80">
            <w:pPr>
              <w:jc w:val="center"/>
              <w:rPr>
                <w:color w:val="000000"/>
                <w:kern w:val="0"/>
                <w:sz w:val="22"/>
                <w:szCs w:val="22"/>
              </w:rPr>
            </w:pPr>
          </w:p>
        </w:tc>
        <w:tc>
          <w:tcPr>
            <w:tcW w:w="911" w:type="dxa"/>
            <w:shd w:val="clear" w:color="auto" w:fill="FFFFFF"/>
            <w:vAlign w:val="center"/>
          </w:tcPr>
          <w:p w14:paraId="426C1205">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立项程序（2分）</w:t>
            </w:r>
          </w:p>
        </w:tc>
        <w:tc>
          <w:tcPr>
            <w:tcW w:w="5008" w:type="dxa"/>
            <w:shd w:val="clear" w:color="auto" w:fill="FFFFFF"/>
            <w:vAlign w:val="center"/>
          </w:tcPr>
          <w:p w14:paraId="1A22BECE">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039" w:type="dxa"/>
            <w:shd w:val="clear" w:color="000000" w:fill="FFFFFF"/>
            <w:vAlign w:val="center"/>
          </w:tcPr>
          <w:p w14:paraId="122E27EE">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66134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6840A0D">
            <w:pPr>
              <w:jc w:val="center"/>
              <w:rPr>
                <w:color w:val="000000"/>
                <w:kern w:val="0"/>
                <w:sz w:val="22"/>
                <w:szCs w:val="22"/>
              </w:rPr>
            </w:pPr>
          </w:p>
        </w:tc>
        <w:tc>
          <w:tcPr>
            <w:tcW w:w="750" w:type="dxa"/>
            <w:vMerge w:val="restart"/>
            <w:shd w:val="clear" w:color="auto" w:fill="FFFFFF"/>
            <w:vAlign w:val="center"/>
          </w:tcPr>
          <w:p w14:paraId="7CE50F5F">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绩效目标（5分）</w:t>
            </w:r>
          </w:p>
        </w:tc>
        <w:tc>
          <w:tcPr>
            <w:tcW w:w="911" w:type="dxa"/>
            <w:shd w:val="clear" w:color="auto" w:fill="FFFFFF"/>
            <w:vAlign w:val="center"/>
          </w:tcPr>
          <w:p w14:paraId="7ACDCED0">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绩效目标合理性（3分）</w:t>
            </w:r>
          </w:p>
        </w:tc>
        <w:tc>
          <w:tcPr>
            <w:tcW w:w="5008" w:type="dxa"/>
            <w:shd w:val="clear" w:color="auto" w:fill="FFFFFF"/>
            <w:vAlign w:val="center"/>
          </w:tcPr>
          <w:p w14:paraId="019DE2F8">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039" w:type="dxa"/>
            <w:shd w:val="clear" w:color="auto" w:fill="FFFFFF"/>
            <w:vAlign w:val="center"/>
          </w:tcPr>
          <w:p w14:paraId="2F05923E">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382854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13BAC9B">
            <w:pPr>
              <w:jc w:val="center"/>
              <w:rPr>
                <w:color w:val="000000"/>
                <w:kern w:val="0"/>
                <w:sz w:val="22"/>
                <w:szCs w:val="22"/>
              </w:rPr>
            </w:pPr>
          </w:p>
        </w:tc>
        <w:tc>
          <w:tcPr>
            <w:tcW w:w="750" w:type="dxa"/>
            <w:vMerge w:val="continue"/>
            <w:shd w:val="clear" w:color="auto" w:fill="FFFFFF"/>
            <w:vAlign w:val="center"/>
          </w:tcPr>
          <w:p w14:paraId="63F8F5FC">
            <w:pPr>
              <w:jc w:val="center"/>
              <w:rPr>
                <w:color w:val="000000"/>
                <w:kern w:val="0"/>
                <w:sz w:val="22"/>
                <w:szCs w:val="22"/>
              </w:rPr>
            </w:pPr>
          </w:p>
        </w:tc>
        <w:tc>
          <w:tcPr>
            <w:tcW w:w="911" w:type="dxa"/>
            <w:shd w:val="clear" w:color="auto" w:fill="FFFFFF"/>
            <w:vAlign w:val="center"/>
          </w:tcPr>
          <w:p w14:paraId="64DC3D35">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绩效指标明确性（2分）</w:t>
            </w:r>
          </w:p>
        </w:tc>
        <w:tc>
          <w:tcPr>
            <w:tcW w:w="5008" w:type="dxa"/>
            <w:shd w:val="clear" w:color="auto" w:fill="FFFFFF"/>
            <w:vAlign w:val="center"/>
          </w:tcPr>
          <w:p w14:paraId="69BDDAE0">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039" w:type="dxa"/>
            <w:shd w:val="clear" w:color="auto" w:fill="FFFFFF"/>
            <w:vAlign w:val="center"/>
          </w:tcPr>
          <w:p w14:paraId="2C57F5DC">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556C8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DEA1F29">
            <w:pPr>
              <w:jc w:val="center"/>
              <w:rPr>
                <w:color w:val="000000"/>
                <w:kern w:val="0"/>
                <w:sz w:val="22"/>
                <w:szCs w:val="22"/>
              </w:rPr>
            </w:pPr>
          </w:p>
        </w:tc>
        <w:tc>
          <w:tcPr>
            <w:tcW w:w="750" w:type="dxa"/>
            <w:vMerge w:val="restart"/>
            <w:shd w:val="clear" w:color="auto" w:fill="FFFFFF"/>
            <w:vAlign w:val="center"/>
          </w:tcPr>
          <w:p w14:paraId="6738C694">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资金投入（10分）</w:t>
            </w:r>
          </w:p>
        </w:tc>
        <w:tc>
          <w:tcPr>
            <w:tcW w:w="911" w:type="dxa"/>
            <w:shd w:val="clear" w:color="auto" w:fill="FFFFFF"/>
            <w:vAlign w:val="center"/>
          </w:tcPr>
          <w:p w14:paraId="767D2AE3">
            <w:pPr>
              <w:keepNext w:val="0"/>
              <w:keepLines w:val="0"/>
              <w:widowControl/>
              <w:suppressLineNumbers w:val="0"/>
              <w:jc w:val="center"/>
              <w:textAlignment w:val="center"/>
              <w:rPr>
                <w:color w:val="000000"/>
                <w:kern w:val="0"/>
                <w:sz w:val="22"/>
                <w:szCs w:val="22"/>
              </w:rPr>
            </w:pPr>
            <w:r>
              <w:rPr>
                <w:rFonts w:hint="eastAsia" w:ascii="方正仿宋_GBK" w:hAnsi="方正仿宋_GBK" w:eastAsia="方正仿宋_GBK" w:cs="方正仿宋_GBK"/>
                <w:i w:val="0"/>
                <w:iCs w:val="0"/>
                <w:color w:val="000000"/>
                <w:kern w:val="0"/>
                <w:sz w:val="24"/>
                <w:szCs w:val="24"/>
                <w:u w:val="none"/>
                <w:lang w:val="en-US" w:eastAsia="zh-CN" w:bidi="ar"/>
              </w:rPr>
              <w:t>预算编制（5分）</w:t>
            </w:r>
          </w:p>
        </w:tc>
        <w:tc>
          <w:tcPr>
            <w:tcW w:w="5008" w:type="dxa"/>
            <w:shd w:val="clear" w:color="auto" w:fill="FFFFFF"/>
            <w:vAlign w:val="center"/>
          </w:tcPr>
          <w:p w14:paraId="28B1E714">
            <w:pPr>
              <w:keepNext w:val="0"/>
              <w:keepLines w:val="0"/>
              <w:widowControl/>
              <w:suppressLineNumbers w:val="0"/>
              <w:jc w:val="left"/>
              <w:textAlignment w:val="center"/>
              <w:rPr>
                <w:color w:val="000000"/>
                <w:kern w:val="0"/>
                <w:sz w:val="22"/>
                <w:szCs w:val="22"/>
                <w:highlight w:val="none"/>
              </w:rPr>
            </w:pPr>
            <w:r>
              <w:rPr>
                <w:rFonts w:hint="eastAsia" w:ascii="方正仿宋_GBK" w:hAnsi="方正仿宋_GBK" w:eastAsia="方正仿宋_GBK" w:cs="方正仿宋_GBK"/>
                <w:i w:val="0"/>
                <w:iCs w:val="0"/>
                <w:color w:val="000000"/>
                <w:kern w:val="0"/>
                <w:sz w:val="24"/>
                <w:szCs w:val="24"/>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039" w:type="dxa"/>
            <w:shd w:val="clear" w:color="000000" w:fill="FFFFFF"/>
            <w:vAlign w:val="center"/>
          </w:tcPr>
          <w:p w14:paraId="63B8025C">
            <w:pPr>
              <w:keepNext w:val="0"/>
              <w:keepLines w:val="0"/>
              <w:widowControl/>
              <w:suppressLineNumbers w:val="0"/>
              <w:jc w:val="center"/>
              <w:textAlignment w:val="center"/>
              <w:rPr>
                <w:color w:val="000000"/>
                <w:kern w:val="0"/>
                <w:sz w:val="22"/>
                <w:szCs w:val="22"/>
                <w:highlight w:val="none"/>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20242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07A4104">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440FC6C3">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5CC47AB3">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资金分配合理性（5分）</w:t>
            </w:r>
          </w:p>
        </w:tc>
        <w:tc>
          <w:tcPr>
            <w:tcW w:w="5008" w:type="dxa"/>
            <w:shd w:val="clear" w:color="auto" w:fill="FFFFFF"/>
            <w:vAlign w:val="center"/>
          </w:tcPr>
          <w:p w14:paraId="619A7411">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①预算资金分配依据是否充分得2.5分，否则不得分；②资金分配额度是否合理，与项目单位或地方实际是否相适应得2.5分，否则不得分。</w:t>
            </w:r>
          </w:p>
        </w:tc>
        <w:tc>
          <w:tcPr>
            <w:tcW w:w="1039" w:type="dxa"/>
            <w:shd w:val="clear" w:color="auto" w:fill="FFFFFF"/>
            <w:vAlign w:val="center"/>
          </w:tcPr>
          <w:p w14:paraId="52206747">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33036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6479C39C">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过程（20分）</w:t>
            </w:r>
          </w:p>
        </w:tc>
        <w:tc>
          <w:tcPr>
            <w:tcW w:w="750" w:type="dxa"/>
            <w:vMerge w:val="restart"/>
            <w:shd w:val="clear" w:color="auto" w:fill="FFFFFF"/>
            <w:vAlign w:val="center"/>
          </w:tcPr>
          <w:p w14:paraId="2B30332D">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资金管理（15分）</w:t>
            </w:r>
          </w:p>
        </w:tc>
        <w:tc>
          <w:tcPr>
            <w:tcW w:w="911" w:type="dxa"/>
            <w:shd w:val="clear" w:color="auto" w:fill="FFFFFF"/>
            <w:vAlign w:val="center"/>
          </w:tcPr>
          <w:p w14:paraId="1BA08185">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资金到位率（5分）</w:t>
            </w:r>
          </w:p>
        </w:tc>
        <w:tc>
          <w:tcPr>
            <w:tcW w:w="5008" w:type="dxa"/>
            <w:shd w:val="clear" w:color="auto" w:fill="FFFFFF"/>
            <w:vAlign w:val="center"/>
          </w:tcPr>
          <w:p w14:paraId="0EC770AC">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039" w:type="dxa"/>
            <w:shd w:val="clear" w:color="000000" w:fill="FFFFFF"/>
            <w:vAlign w:val="center"/>
          </w:tcPr>
          <w:p w14:paraId="5B11E5BF">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44CBD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77" w:hRule="atLeast"/>
        </w:trPr>
        <w:tc>
          <w:tcPr>
            <w:tcW w:w="866" w:type="dxa"/>
            <w:vMerge w:val="continue"/>
            <w:shd w:val="clear" w:color="auto" w:fill="FFFFFF"/>
            <w:vAlign w:val="center"/>
          </w:tcPr>
          <w:p w14:paraId="5AE502D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3E838F98">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0F48D84F">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预算执行率（5分）</w:t>
            </w:r>
          </w:p>
        </w:tc>
        <w:tc>
          <w:tcPr>
            <w:tcW w:w="5008" w:type="dxa"/>
            <w:shd w:val="clear" w:color="auto" w:fill="FFFFFF"/>
            <w:vAlign w:val="center"/>
          </w:tcPr>
          <w:p w14:paraId="4F576B9F">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预算执行率为100%，得5分，否则得分=（实际支出资金/实际到位资金）×100%*5。</w:t>
            </w:r>
          </w:p>
        </w:tc>
        <w:tc>
          <w:tcPr>
            <w:tcW w:w="1039" w:type="dxa"/>
            <w:shd w:val="clear" w:color="000000" w:fill="FFFFFF"/>
            <w:vAlign w:val="center"/>
          </w:tcPr>
          <w:p w14:paraId="4FDFE563">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Times New Roman" w:hAnsi="Times New Roman" w:eastAsia="宋体" w:cs="Times New Roman"/>
                <w:i w:val="0"/>
                <w:iCs w:val="0"/>
                <w:color w:val="000000"/>
                <w:kern w:val="0"/>
                <w:sz w:val="24"/>
                <w:szCs w:val="24"/>
                <w:u w:val="none"/>
                <w:lang w:val="en-US" w:eastAsia="zh-CN" w:bidi="ar"/>
              </w:rPr>
              <w:t>3.74</w:t>
            </w:r>
          </w:p>
        </w:tc>
      </w:tr>
      <w:tr w14:paraId="58A29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7ECA76A">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32548BF">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54DB7E1D">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资金使用合规性（5分）</w:t>
            </w:r>
          </w:p>
        </w:tc>
        <w:tc>
          <w:tcPr>
            <w:tcW w:w="5008" w:type="dxa"/>
            <w:shd w:val="clear" w:color="auto" w:fill="FFFFFF"/>
            <w:vAlign w:val="center"/>
          </w:tcPr>
          <w:p w14:paraId="3C7C8D13">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039" w:type="dxa"/>
            <w:shd w:val="clear" w:color="000000" w:fill="FFFFFF"/>
            <w:vAlign w:val="center"/>
          </w:tcPr>
          <w:p w14:paraId="277692EB">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5</w:t>
            </w:r>
          </w:p>
        </w:tc>
      </w:tr>
      <w:tr w14:paraId="6A4EB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2C78944B">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0C690E60">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组织实施（5分）</w:t>
            </w:r>
          </w:p>
        </w:tc>
        <w:tc>
          <w:tcPr>
            <w:tcW w:w="911" w:type="dxa"/>
            <w:shd w:val="clear" w:color="auto" w:fill="FFFFFF"/>
            <w:vAlign w:val="center"/>
          </w:tcPr>
          <w:p w14:paraId="1B507E19">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管理制度健全性（2分）</w:t>
            </w:r>
          </w:p>
        </w:tc>
        <w:tc>
          <w:tcPr>
            <w:tcW w:w="5008" w:type="dxa"/>
            <w:shd w:val="clear" w:color="auto" w:fill="FFFFFF"/>
            <w:vAlign w:val="center"/>
          </w:tcPr>
          <w:p w14:paraId="68E7BCCA">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①是否已制定或具有相应的财务和业务管理制度得1分，否则不得分；②财务和业务管理制度是否合法、合规、完整得1分，否则不得分。</w:t>
            </w:r>
          </w:p>
        </w:tc>
        <w:tc>
          <w:tcPr>
            <w:tcW w:w="1039" w:type="dxa"/>
            <w:shd w:val="clear" w:color="000000" w:fill="FFFFFF"/>
            <w:vAlign w:val="center"/>
          </w:tcPr>
          <w:p w14:paraId="5B709EC8">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45F2E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25A777C">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305B0A60">
            <w:pPr>
              <w:jc w:val="center"/>
              <w:rPr>
                <w:color w:val="000000" w:themeColor="text1"/>
                <w:kern w:val="0"/>
                <w:sz w:val="22"/>
                <w:szCs w:val="22"/>
                <w:highlight w:val="none"/>
                <w14:textFill>
                  <w14:solidFill>
                    <w14:schemeClr w14:val="tx1"/>
                  </w14:solidFill>
                </w14:textFill>
              </w:rPr>
            </w:pPr>
          </w:p>
        </w:tc>
        <w:tc>
          <w:tcPr>
            <w:tcW w:w="911" w:type="dxa"/>
            <w:shd w:val="clear" w:color="auto" w:fill="FFFFFF"/>
            <w:vAlign w:val="center"/>
          </w:tcPr>
          <w:p w14:paraId="10C93766">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制度执行（3分）</w:t>
            </w:r>
          </w:p>
        </w:tc>
        <w:tc>
          <w:tcPr>
            <w:tcW w:w="5008" w:type="dxa"/>
            <w:shd w:val="clear" w:color="auto" w:fill="FFFFFF"/>
            <w:vAlign w:val="center"/>
          </w:tcPr>
          <w:p w14:paraId="323AC22E">
            <w:pPr>
              <w:keepNext w:val="0"/>
              <w:keepLines w:val="0"/>
              <w:widowControl/>
              <w:suppressLineNumbers w:val="0"/>
              <w:jc w:val="left"/>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039" w:type="dxa"/>
            <w:shd w:val="clear" w:color="000000" w:fill="FFFFFF"/>
            <w:vAlign w:val="center"/>
          </w:tcPr>
          <w:p w14:paraId="733212B6">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3078A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770BF262">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产出（40分）</w:t>
            </w:r>
          </w:p>
        </w:tc>
        <w:tc>
          <w:tcPr>
            <w:tcW w:w="750" w:type="dxa"/>
            <w:vMerge w:val="restart"/>
            <w:shd w:val="clear" w:color="auto" w:fill="FFFFFF"/>
            <w:vAlign w:val="center"/>
          </w:tcPr>
          <w:p w14:paraId="3E8DDA9C">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产出数量（</w:t>
            </w:r>
            <w:r>
              <w:rPr>
                <w:rFonts w:hint="default" w:ascii="Times New Roman" w:hAnsi="Times New Roman" w:eastAsia="方正仿宋_GBK" w:cs="Times New Roman"/>
                <w:i w:val="0"/>
                <w:iCs w:val="0"/>
                <w:color w:val="000000"/>
                <w:kern w:val="0"/>
                <w:sz w:val="24"/>
                <w:szCs w:val="24"/>
                <w:u w:val="none"/>
                <w:lang w:val="en-US" w:eastAsia="zh-CN" w:bidi="ar"/>
              </w:rPr>
              <w:t>10</w:t>
            </w:r>
            <w:r>
              <w:rPr>
                <w:rFonts w:hint="eastAsia" w:ascii="方正仿宋_GBK" w:hAnsi="方正仿宋_GBK" w:eastAsia="方正仿宋_GBK" w:cs="方正仿宋_GBK"/>
                <w:i w:val="0"/>
                <w:iCs w:val="0"/>
                <w:color w:val="000000"/>
                <w:kern w:val="0"/>
                <w:sz w:val="24"/>
                <w:szCs w:val="24"/>
                <w:u w:val="none"/>
                <w:lang w:val="en-US" w:eastAsia="zh-CN" w:bidi="ar"/>
              </w:rPr>
              <w:t>分）</w:t>
            </w:r>
          </w:p>
        </w:tc>
        <w:tc>
          <w:tcPr>
            <w:tcW w:w="911" w:type="dxa"/>
            <w:vMerge w:val="restart"/>
            <w:shd w:val="clear" w:color="auto" w:fill="FFFFFF"/>
            <w:vAlign w:val="center"/>
          </w:tcPr>
          <w:p w14:paraId="740E6840">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实际完成率（10分）</w:t>
            </w:r>
          </w:p>
        </w:tc>
        <w:tc>
          <w:tcPr>
            <w:tcW w:w="5008" w:type="dxa"/>
            <w:shd w:val="clear" w:color="auto" w:fill="FFFFFF"/>
            <w:vAlign w:val="center"/>
          </w:tcPr>
          <w:p w14:paraId="2A318373">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①“完成建设用地地质灾害危险性评估项目”完成该指标得满分（2分），否则按照（实际产出数/计划产出数）×100%*2分得分。</w:t>
            </w:r>
          </w:p>
        </w:tc>
        <w:tc>
          <w:tcPr>
            <w:tcW w:w="1039" w:type="dxa"/>
            <w:vMerge w:val="restart"/>
            <w:shd w:val="clear" w:color="000000" w:fill="FFFFFF"/>
            <w:vAlign w:val="center"/>
          </w:tcPr>
          <w:p w14:paraId="4119EFC1">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7A8E3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0AAE081">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71988DF7">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4CA854EA">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4F8C281A">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②“完成监理项目”完成该指标得满分（2分），否则按照（实际产出数/计划产出数）×100%*2分得分。</w:t>
            </w:r>
          </w:p>
        </w:tc>
        <w:tc>
          <w:tcPr>
            <w:tcW w:w="1039" w:type="dxa"/>
            <w:vMerge w:val="continue"/>
            <w:shd w:val="clear" w:color="000000" w:fill="FFFFFF"/>
            <w:vAlign w:val="center"/>
          </w:tcPr>
          <w:p w14:paraId="231C3DDC">
            <w:pPr>
              <w:jc w:val="center"/>
              <w:rPr>
                <w:color w:val="000000" w:themeColor="text1"/>
                <w:kern w:val="0"/>
                <w:sz w:val="22"/>
                <w:szCs w:val="22"/>
                <w:highlight w:val="none"/>
                <w14:textFill>
                  <w14:solidFill>
                    <w14:schemeClr w14:val="tx1"/>
                  </w14:solidFill>
                </w14:textFill>
              </w:rPr>
            </w:pPr>
          </w:p>
        </w:tc>
      </w:tr>
      <w:tr w14:paraId="24595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5FC5BCA">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6BE57AFC">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6E07ADE6">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56B77120">
            <w:pPr>
              <w:keepNext w:val="0"/>
              <w:keepLines w:val="0"/>
              <w:widowControl/>
              <w:suppressLineNumbers w:val="0"/>
              <w:jc w:val="both"/>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③“完成地下水监测设备校核”完成该指标得满分（2分），否则按照（实际产出数/计划产出数）×100%*2分得分。</w:t>
            </w:r>
          </w:p>
        </w:tc>
        <w:tc>
          <w:tcPr>
            <w:tcW w:w="1039" w:type="dxa"/>
            <w:vMerge w:val="continue"/>
            <w:shd w:val="clear" w:color="auto" w:fill="FFFFFF"/>
            <w:vAlign w:val="center"/>
          </w:tcPr>
          <w:p w14:paraId="5D907BB2">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52251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74968D7B">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5C1C4E3">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3DC2B0F">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5BFDA283">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④“完成监测井井深测量”完成该指标得满分（2分），否则按照（实际产出数/计划产出数）×100%*2分得分。</w:t>
            </w:r>
          </w:p>
        </w:tc>
        <w:tc>
          <w:tcPr>
            <w:tcW w:w="1039" w:type="dxa"/>
            <w:vMerge w:val="continue"/>
            <w:shd w:val="clear" w:color="auto" w:fill="FFFFFF"/>
            <w:vAlign w:val="center"/>
          </w:tcPr>
          <w:p w14:paraId="21FF4B21">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6B2BD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DA0C306">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1E1ABE7E">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2B08AC5">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13CC9ED5">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⑤“完成监测站点辅助设施养护维修”完成该指标得满分（2分），否则按照（实际产出数/计划产出数）×100%*2分得分。</w:t>
            </w:r>
          </w:p>
        </w:tc>
        <w:tc>
          <w:tcPr>
            <w:tcW w:w="1039" w:type="dxa"/>
            <w:vMerge w:val="continue"/>
            <w:shd w:val="clear" w:color="auto" w:fill="FFFFFF"/>
            <w:vAlign w:val="center"/>
          </w:tcPr>
          <w:p w14:paraId="2C7F5230">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43B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39CF1307">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196D554C">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58C30EA">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4183EE8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实际完成率=（实际产出数/计划产出数）×100% 。             </w:t>
            </w:r>
          </w:p>
        </w:tc>
        <w:tc>
          <w:tcPr>
            <w:tcW w:w="1039" w:type="dxa"/>
            <w:vMerge w:val="continue"/>
            <w:shd w:val="clear" w:color="auto" w:fill="FFFFFF"/>
            <w:vAlign w:val="center"/>
          </w:tcPr>
          <w:p w14:paraId="2CD93F17">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506AE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AC3252F">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4D31C07">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4F204717">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840217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实际产出数：一定时期（本年度或项目期）内项目实际产出的产品或提供的服务数量。</w:t>
            </w:r>
          </w:p>
        </w:tc>
        <w:tc>
          <w:tcPr>
            <w:tcW w:w="1039" w:type="dxa"/>
            <w:vMerge w:val="continue"/>
            <w:shd w:val="clear" w:color="auto" w:fill="FFFFFF"/>
            <w:vAlign w:val="center"/>
          </w:tcPr>
          <w:p w14:paraId="498594AE">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19AC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B232D78">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443CBD41">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产出质量（10分）</w:t>
            </w:r>
          </w:p>
        </w:tc>
        <w:tc>
          <w:tcPr>
            <w:tcW w:w="911" w:type="dxa"/>
            <w:vMerge w:val="restart"/>
            <w:shd w:val="clear" w:color="auto" w:fill="FFFFFF"/>
            <w:vAlign w:val="center"/>
          </w:tcPr>
          <w:p w14:paraId="0CE4CCF7">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质量达标率（10分）</w:t>
            </w:r>
          </w:p>
        </w:tc>
        <w:tc>
          <w:tcPr>
            <w:tcW w:w="5008" w:type="dxa"/>
            <w:shd w:val="clear" w:color="auto" w:fill="FFFFFF"/>
            <w:vAlign w:val="center"/>
          </w:tcPr>
          <w:p w14:paraId="2C799C6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①“地下水监测数据传输故障率”完成该指标得满分（2.5分），否则按照（质量达标产出数/实际产出数）×100%*2.5分得分。</w:t>
            </w:r>
          </w:p>
        </w:tc>
        <w:tc>
          <w:tcPr>
            <w:tcW w:w="1039" w:type="dxa"/>
            <w:vMerge w:val="restart"/>
            <w:shd w:val="clear" w:color="auto" w:fill="FFFFFF"/>
            <w:vAlign w:val="center"/>
          </w:tcPr>
          <w:p w14:paraId="3F6B30B5">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10</w:t>
            </w:r>
          </w:p>
        </w:tc>
      </w:tr>
      <w:tr w14:paraId="4EB2E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6FD99A3">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3FCCBE56">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655FD5C">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1CA2A889">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②“工作成果质量合格率”完成该指标得满分（2.5分），否则按照（质量达标产出数/实际产出数）×100%*2.5分得分。</w:t>
            </w:r>
          </w:p>
        </w:tc>
        <w:tc>
          <w:tcPr>
            <w:tcW w:w="1039" w:type="dxa"/>
            <w:vMerge w:val="continue"/>
            <w:shd w:val="clear" w:color="auto" w:fill="FFFFFF"/>
            <w:vAlign w:val="center"/>
          </w:tcPr>
          <w:p w14:paraId="0E721FA0">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12D6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363103C4">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6B3A86D">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4F4638DF">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1FF0DF04">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③“监测井运行维护合格率”完成该指标得满分（2.5分），否则按照（质量达标产出数/实际产出数）×100%*2.5分得分。</w:t>
            </w:r>
          </w:p>
        </w:tc>
        <w:tc>
          <w:tcPr>
            <w:tcW w:w="1039" w:type="dxa"/>
            <w:vMerge w:val="continue"/>
            <w:shd w:val="clear" w:color="auto" w:fill="FFFFFF"/>
            <w:vAlign w:val="center"/>
          </w:tcPr>
          <w:p w14:paraId="1DF3D208">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CDF0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D05C265">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74DAE16">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6997C77">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08159C46">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④“地下水均衡试验场运行故障率”完成该指标得满分（2.5分），否则按照（质量达标产出数/实际产出数）×100%*2.5分得分。</w:t>
            </w:r>
          </w:p>
        </w:tc>
        <w:tc>
          <w:tcPr>
            <w:tcW w:w="1039" w:type="dxa"/>
            <w:vMerge w:val="continue"/>
            <w:shd w:val="clear" w:color="auto" w:fill="FFFFFF"/>
            <w:vAlign w:val="center"/>
          </w:tcPr>
          <w:p w14:paraId="002D3874">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5A0E4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4EA35EB4">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14DC28A8">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69964053">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1208E5FF">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质量达标率=（质量达标产出数/实际产出数）×100%。          </w:t>
            </w:r>
          </w:p>
        </w:tc>
        <w:tc>
          <w:tcPr>
            <w:tcW w:w="1039" w:type="dxa"/>
            <w:vMerge w:val="continue"/>
            <w:shd w:val="clear" w:color="auto" w:fill="FFFFFF"/>
            <w:vAlign w:val="center"/>
          </w:tcPr>
          <w:p w14:paraId="32A7301B">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14CFD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45800AB">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3D2666A2">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0F5F1645">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7B650D91">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质量达标产出数：一定时期（本年度或项目期）内实际达到既定质量标准的产品或服务数量。</w:t>
            </w:r>
          </w:p>
        </w:tc>
        <w:tc>
          <w:tcPr>
            <w:tcW w:w="1039" w:type="dxa"/>
            <w:vMerge w:val="continue"/>
            <w:shd w:val="clear" w:color="auto" w:fill="FFFFFF"/>
            <w:vAlign w:val="center"/>
          </w:tcPr>
          <w:p w14:paraId="5143EA5F">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C9D5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52E7DB7">
            <w:pPr>
              <w:jc w:val="center"/>
              <w:rPr>
                <w:color w:val="000000" w:themeColor="text1"/>
                <w:kern w:val="0"/>
                <w:sz w:val="22"/>
                <w:szCs w:val="22"/>
                <w:highlight w:val="none"/>
                <w14:textFill>
                  <w14:solidFill>
                    <w14:schemeClr w14:val="tx1"/>
                  </w14:solidFill>
                </w14:textFill>
              </w:rPr>
            </w:pPr>
          </w:p>
        </w:tc>
        <w:tc>
          <w:tcPr>
            <w:tcW w:w="750" w:type="dxa"/>
            <w:vMerge w:val="restart"/>
            <w:shd w:val="clear" w:color="auto" w:fill="FFFFFF"/>
            <w:vAlign w:val="center"/>
          </w:tcPr>
          <w:p w14:paraId="1AA8A3F0">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产出成本（20分）</w:t>
            </w:r>
          </w:p>
        </w:tc>
        <w:tc>
          <w:tcPr>
            <w:tcW w:w="911" w:type="dxa"/>
            <w:vMerge w:val="restart"/>
            <w:shd w:val="clear" w:color="auto" w:fill="FFFFFF"/>
            <w:vAlign w:val="center"/>
          </w:tcPr>
          <w:p w14:paraId="2CFD292E">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成本节约率（20分）</w:t>
            </w:r>
          </w:p>
        </w:tc>
        <w:tc>
          <w:tcPr>
            <w:tcW w:w="5008" w:type="dxa"/>
            <w:shd w:val="clear" w:color="auto" w:fill="FFFFFF"/>
            <w:vAlign w:val="center"/>
          </w:tcPr>
          <w:p w14:paraId="15F723CA">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①“建设用地地质灾害危险性评估项目经费”完成该指标得满分（5分）否则得分=（实际支出资金/实际到位资金）×100%*5</w:t>
            </w:r>
          </w:p>
        </w:tc>
        <w:tc>
          <w:tcPr>
            <w:tcW w:w="1039" w:type="dxa"/>
            <w:vMerge w:val="restart"/>
            <w:shd w:val="clear" w:color="auto" w:fill="FFFFFF"/>
            <w:vAlign w:val="center"/>
          </w:tcPr>
          <w:p w14:paraId="075E05BF">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cs="Times New Roman"/>
                <w:i w:val="0"/>
                <w:iCs w:val="0"/>
                <w:color w:val="000000"/>
                <w:kern w:val="0"/>
                <w:sz w:val="24"/>
                <w:szCs w:val="24"/>
                <w:u w:val="none"/>
                <w:lang w:val="en-US" w:eastAsia="zh-CN" w:bidi="ar"/>
              </w:rPr>
              <w:t>15</w:t>
            </w:r>
          </w:p>
        </w:tc>
      </w:tr>
      <w:tr w14:paraId="11C34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64283B8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21948FE5">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2E33A44">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B2A1A0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②"项目监理费"完成该指标得满分（5分）否则得分=（实际支出资金/实际到位资金）×100%*5</w:t>
            </w:r>
          </w:p>
        </w:tc>
        <w:tc>
          <w:tcPr>
            <w:tcW w:w="1039" w:type="dxa"/>
            <w:vMerge w:val="continue"/>
            <w:shd w:val="clear" w:color="auto" w:fill="FFFFFF"/>
            <w:vAlign w:val="center"/>
          </w:tcPr>
          <w:p w14:paraId="7EFE51ED">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060D4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248B6391">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4F1CFAE8">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D828A5A">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2DC7B977">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③"完成地下水监测站点运行维护工作经费"完成该指标得满分（10分）否则得分=（实际支出资金/实际到位资金）×100%*10</w:t>
            </w:r>
          </w:p>
        </w:tc>
        <w:tc>
          <w:tcPr>
            <w:tcW w:w="1039" w:type="dxa"/>
            <w:vMerge w:val="continue"/>
            <w:shd w:val="clear" w:color="auto" w:fill="FFFFFF"/>
            <w:vAlign w:val="center"/>
          </w:tcPr>
          <w:p w14:paraId="118E96D4">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162482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restart"/>
            <w:shd w:val="clear" w:color="auto" w:fill="FFFFFF"/>
            <w:vAlign w:val="center"/>
          </w:tcPr>
          <w:p w14:paraId="7BFE9F73">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效益（20分）</w:t>
            </w:r>
          </w:p>
        </w:tc>
        <w:tc>
          <w:tcPr>
            <w:tcW w:w="750" w:type="dxa"/>
            <w:vMerge w:val="restart"/>
            <w:shd w:val="clear" w:color="auto" w:fill="FFFFFF"/>
            <w:vAlign w:val="center"/>
          </w:tcPr>
          <w:p w14:paraId="47332AFA">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项目效益（20分）</w:t>
            </w:r>
          </w:p>
        </w:tc>
        <w:tc>
          <w:tcPr>
            <w:tcW w:w="911" w:type="dxa"/>
            <w:vMerge w:val="restart"/>
            <w:shd w:val="clear" w:color="auto" w:fill="FFFFFF"/>
            <w:vAlign w:val="center"/>
          </w:tcPr>
          <w:p w14:paraId="6BB7DAA4">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实施效益（20分）</w:t>
            </w:r>
          </w:p>
        </w:tc>
        <w:tc>
          <w:tcPr>
            <w:tcW w:w="5008" w:type="dxa"/>
            <w:shd w:val="clear" w:color="auto" w:fill="FFFFFF"/>
            <w:vAlign w:val="center"/>
          </w:tcPr>
          <w:p w14:paraId="61BF835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①经济效益：无</w:t>
            </w:r>
          </w:p>
        </w:tc>
        <w:tc>
          <w:tcPr>
            <w:tcW w:w="1039" w:type="dxa"/>
            <w:vMerge w:val="restart"/>
            <w:shd w:val="clear" w:color="auto" w:fill="FFFFFF"/>
            <w:vAlign w:val="center"/>
          </w:tcPr>
          <w:p w14:paraId="146D465F">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2D084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4525B99">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42C1ADCE">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72BF46DE">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4D7E9D2C">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②社会效益：“有效提高我区地质灾害防治能力”完成该指标得满分（10分）否则不得分；             </w:t>
            </w:r>
          </w:p>
        </w:tc>
        <w:tc>
          <w:tcPr>
            <w:tcW w:w="1039" w:type="dxa"/>
            <w:vMerge w:val="continue"/>
            <w:shd w:val="clear" w:color="auto" w:fill="FFFFFF"/>
            <w:vAlign w:val="center"/>
          </w:tcPr>
          <w:p w14:paraId="606CBDD9">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EE47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5F4DF182">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57ED6FCA">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1EA1055B">
            <w:pPr>
              <w:jc w:val="center"/>
              <w:rPr>
                <w:color w:val="000000" w:themeColor="text1"/>
                <w:kern w:val="0"/>
                <w:sz w:val="22"/>
                <w:szCs w:val="22"/>
                <w:highlight w:val="none"/>
                <w14:textFill>
                  <w14:solidFill>
                    <w14:schemeClr w14:val="tx1"/>
                  </w14:solidFill>
                </w14:textFill>
              </w:rPr>
            </w:pPr>
          </w:p>
        </w:tc>
        <w:tc>
          <w:tcPr>
            <w:tcW w:w="5008" w:type="dxa"/>
            <w:shd w:val="clear" w:color="auto" w:fill="FFFFFF"/>
            <w:vAlign w:val="center"/>
          </w:tcPr>
          <w:p w14:paraId="465A6E0B">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③社会效益：“有效提升我区地下水资源监测能力”完成该指标得满分（10分）否则不得分；             </w:t>
            </w:r>
          </w:p>
        </w:tc>
        <w:tc>
          <w:tcPr>
            <w:tcW w:w="1039" w:type="dxa"/>
            <w:vMerge w:val="continue"/>
            <w:shd w:val="clear" w:color="auto" w:fill="FFFFFF"/>
            <w:vAlign w:val="center"/>
          </w:tcPr>
          <w:p w14:paraId="3D7CE700">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C9DD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1E0BD4F7">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0A7B1EC7">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3A0A99A6">
            <w:pPr>
              <w:jc w:val="center"/>
            </w:pPr>
          </w:p>
        </w:tc>
        <w:tc>
          <w:tcPr>
            <w:tcW w:w="5008" w:type="dxa"/>
            <w:shd w:val="clear" w:color="auto" w:fill="FFFFFF"/>
            <w:vAlign w:val="center"/>
          </w:tcPr>
          <w:p w14:paraId="4D0DECD3">
            <w:pPr>
              <w:keepNext w:val="0"/>
              <w:keepLines w:val="0"/>
              <w:widowControl/>
              <w:suppressLineNumbers w:val="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④</w:t>
            </w:r>
            <w:r>
              <w:rPr>
                <w:rFonts w:hint="eastAsia" w:ascii="方正仿宋_GBK" w:hAnsi="方正仿宋_GBK" w:eastAsia="方正仿宋_GBK" w:cs="方正仿宋_GBK"/>
                <w:i w:val="0"/>
                <w:iCs w:val="0"/>
                <w:color w:val="000000"/>
                <w:kern w:val="0"/>
                <w:sz w:val="24"/>
                <w:szCs w:val="24"/>
                <w:u w:val="none"/>
                <w:lang w:val="en-US" w:eastAsia="zh-CN" w:bidi="ar"/>
              </w:rPr>
              <w:t xml:space="preserve">生态效益：无                                                 </w:t>
            </w:r>
          </w:p>
        </w:tc>
        <w:tc>
          <w:tcPr>
            <w:tcW w:w="1039" w:type="dxa"/>
            <w:vMerge w:val="continue"/>
            <w:shd w:val="clear" w:color="auto" w:fill="FFFFFF"/>
            <w:vAlign w:val="center"/>
          </w:tcPr>
          <w:p w14:paraId="34901AE8">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26B8C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vMerge w:val="continue"/>
            <w:shd w:val="clear" w:color="auto" w:fill="FFFFFF"/>
            <w:vAlign w:val="center"/>
          </w:tcPr>
          <w:p w14:paraId="0D9F0D20">
            <w:pPr>
              <w:jc w:val="center"/>
              <w:rPr>
                <w:color w:val="000000" w:themeColor="text1"/>
                <w:kern w:val="0"/>
                <w:sz w:val="22"/>
                <w:szCs w:val="22"/>
                <w:highlight w:val="none"/>
                <w14:textFill>
                  <w14:solidFill>
                    <w14:schemeClr w14:val="tx1"/>
                  </w14:solidFill>
                </w14:textFill>
              </w:rPr>
            </w:pPr>
          </w:p>
        </w:tc>
        <w:tc>
          <w:tcPr>
            <w:tcW w:w="750" w:type="dxa"/>
            <w:vMerge w:val="continue"/>
            <w:shd w:val="clear" w:color="auto" w:fill="FFFFFF"/>
            <w:vAlign w:val="center"/>
          </w:tcPr>
          <w:p w14:paraId="7BD76D62">
            <w:pPr>
              <w:jc w:val="center"/>
              <w:rPr>
                <w:color w:val="000000" w:themeColor="text1"/>
                <w:kern w:val="0"/>
                <w:sz w:val="22"/>
                <w:szCs w:val="22"/>
                <w:highlight w:val="none"/>
                <w14:textFill>
                  <w14:solidFill>
                    <w14:schemeClr w14:val="tx1"/>
                  </w14:solidFill>
                </w14:textFill>
              </w:rPr>
            </w:pPr>
          </w:p>
        </w:tc>
        <w:tc>
          <w:tcPr>
            <w:tcW w:w="911" w:type="dxa"/>
            <w:vMerge w:val="continue"/>
            <w:shd w:val="clear" w:color="auto" w:fill="FFFFFF"/>
            <w:vAlign w:val="center"/>
          </w:tcPr>
          <w:p w14:paraId="2F1D382C">
            <w:pPr>
              <w:jc w:val="center"/>
            </w:pPr>
          </w:p>
        </w:tc>
        <w:tc>
          <w:tcPr>
            <w:tcW w:w="5008" w:type="dxa"/>
            <w:shd w:val="clear" w:color="auto" w:fill="FFFFFF"/>
            <w:vAlign w:val="center"/>
          </w:tcPr>
          <w:p w14:paraId="1F0C4E5F">
            <w:pPr>
              <w:keepNext w:val="0"/>
              <w:keepLines w:val="0"/>
              <w:widowControl/>
              <w:suppressLineNumbers w:val="0"/>
              <w:jc w:val="both"/>
              <w:textAlignment w:val="center"/>
              <w:rPr>
                <w:rStyle w:val="56"/>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⑤</w:t>
            </w:r>
            <w:r>
              <w:rPr>
                <w:rFonts w:hint="eastAsia" w:ascii="方正仿宋_GBK" w:hAnsi="方正仿宋_GBK" w:eastAsia="方正仿宋_GBK" w:cs="方正仿宋_GBK"/>
                <w:i w:val="0"/>
                <w:iCs w:val="0"/>
                <w:color w:val="000000"/>
                <w:kern w:val="0"/>
                <w:sz w:val="24"/>
                <w:szCs w:val="24"/>
                <w:u w:val="none"/>
                <w:lang w:val="en-US" w:eastAsia="zh-CN" w:bidi="ar"/>
              </w:rPr>
              <w:t>可持续影响：无</w:t>
            </w:r>
          </w:p>
        </w:tc>
        <w:tc>
          <w:tcPr>
            <w:tcW w:w="1039" w:type="dxa"/>
            <w:vMerge w:val="continue"/>
            <w:shd w:val="clear" w:color="auto" w:fill="FFFFFF"/>
            <w:vAlign w:val="center"/>
          </w:tcPr>
          <w:p w14:paraId="15A9018D">
            <w:pPr>
              <w:jc w:val="center"/>
              <w:rPr>
                <w:rFonts w:hint="default" w:eastAsia="宋体"/>
                <w:color w:val="000000" w:themeColor="text1"/>
                <w:kern w:val="0"/>
                <w:sz w:val="22"/>
                <w:szCs w:val="22"/>
                <w:highlight w:val="none"/>
                <w:lang w:val="en-US" w:eastAsia="zh-CN"/>
                <w14:textFill>
                  <w14:solidFill>
                    <w14:schemeClr w14:val="tx1"/>
                  </w14:solidFill>
                </w14:textFill>
              </w:rPr>
            </w:pPr>
          </w:p>
        </w:tc>
      </w:tr>
      <w:tr w14:paraId="7B39E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66" w:type="dxa"/>
            <w:shd w:val="clear" w:color="auto" w:fill="FFFFFF"/>
            <w:vAlign w:val="center"/>
          </w:tcPr>
          <w:p w14:paraId="3A911EE4">
            <w:pPr>
              <w:keepNext w:val="0"/>
              <w:keepLines w:val="0"/>
              <w:widowControl/>
              <w:suppressLineNumbers w:val="0"/>
              <w:jc w:val="center"/>
              <w:textAlignment w:val="center"/>
              <w:rPr>
                <w:color w:val="000000" w:themeColor="text1"/>
                <w:kern w:val="0"/>
                <w:sz w:val="22"/>
                <w:szCs w:val="22"/>
                <w:highlight w:val="none"/>
                <w14:textFill>
                  <w14:solidFill>
                    <w14:schemeClr w14:val="tx1"/>
                  </w14:solidFill>
                </w14:textFill>
              </w:rPr>
            </w:pPr>
            <w:r>
              <w:rPr>
                <w:rFonts w:hint="eastAsia" w:ascii="方正仿宋_GBK" w:hAnsi="方正仿宋_GBK" w:eastAsia="方正仿宋_GBK" w:cs="方正仿宋_GBK"/>
                <w:i w:val="0"/>
                <w:iCs w:val="0"/>
                <w:color w:val="000000"/>
                <w:kern w:val="0"/>
                <w:sz w:val="24"/>
                <w:szCs w:val="24"/>
                <w:u w:val="none"/>
                <w:lang w:val="en-US" w:eastAsia="zh-CN" w:bidi="ar"/>
              </w:rPr>
              <w:t>合计</w:t>
            </w:r>
          </w:p>
        </w:tc>
        <w:tc>
          <w:tcPr>
            <w:tcW w:w="1661" w:type="dxa"/>
            <w:gridSpan w:val="2"/>
            <w:shd w:val="clear" w:color="auto" w:fill="FFFFFF"/>
            <w:vAlign w:val="center"/>
          </w:tcPr>
          <w:p w14:paraId="76ED8661">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100分</w:t>
            </w:r>
          </w:p>
        </w:tc>
        <w:tc>
          <w:tcPr>
            <w:tcW w:w="5008" w:type="dxa"/>
            <w:shd w:val="clear" w:color="auto" w:fill="FFFFFF"/>
            <w:vAlign w:val="center"/>
          </w:tcPr>
          <w:p w14:paraId="767866E8">
            <w:pPr>
              <w:jc w:val="center"/>
              <w:rPr>
                <w:rStyle w:val="56"/>
                <w:lang w:val="en-US" w:eastAsia="zh-CN" w:bidi="ar"/>
              </w:rPr>
            </w:pPr>
          </w:p>
        </w:tc>
        <w:tc>
          <w:tcPr>
            <w:tcW w:w="1039" w:type="dxa"/>
            <w:shd w:val="clear" w:color="auto" w:fill="FFFFFF"/>
            <w:vAlign w:val="center"/>
          </w:tcPr>
          <w:p w14:paraId="6A13CBAF">
            <w:pPr>
              <w:keepNext w:val="0"/>
              <w:keepLines w:val="0"/>
              <w:widowControl/>
              <w:suppressLineNumbers w:val="0"/>
              <w:jc w:val="center"/>
              <w:textAlignment w:val="center"/>
              <w:rPr>
                <w:rFonts w:hint="default" w:eastAsia="宋体"/>
                <w:color w:val="000000" w:themeColor="text1"/>
                <w:kern w:val="0"/>
                <w:sz w:val="22"/>
                <w:szCs w:val="22"/>
                <w:highlight w:val="none"/>
                <w:lang w:val="en-US" w:eastAsia="zh-CN"/>
                <w14:textFill>
                  <w14:solidFill>
                    <w14:schemeClr w14:val="tx1"/>
                  </w14:solidFill>
                </w14:textFill>
              </w:rPr>
            </w:pPr>
            <w:r>
              <w:rPr>
                <w:rFonts w:hint="eastAsia" w:ascii="宋体" w:hAnsi="宋体" w:cs="宋体"/>
                <w:i w:val="0"/>
                <w:iCs w:val="0"/>
                <w:color w:val="000000"/>
                <w:kern w:val="0"/>
                <w:sz w:val="22"/>
                <w:szCs w:val="22"/>
                <w:u w:val="none"/>
                <w:lang w:val="en-US" w:eastAsia="zh-CN" w:bidi="ar"/>
              </w:rPr>
              <w:t>93.74</w:t>
            </w:r>
          </w:p>
        </w:tc>
      </w:tr>
    </w:tbl>
    <w:p w14:paraId="6067130A">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DE1D6B">
        <w:pPr>
          <w:pStyle w:val="14"/>
          <w:jc w:val="center"/>
        </w:pPr>
        <w:r>
          <w:fldChar w:fldCharType="begin"/>
        </w:r>
        <w:r>
          <w:instrText xml:space="preserve">PAGE   \* MERGEFORMAT</w:instrText>
        </w:r>
        <w:r>
          <w:fldChar w:fldCharType="separate"/>
        </w:r>
        <w:r>
          <w:rPr>
            <w:lang w:val="zh-CN"/>
          </w:rPr>
          <w:t>1</w:t>
        </w:r>
        <w:r>
          <w:fldChar w:fldCharType="end"/>
        </w:r>
      </w:p>
    </w:sdtContent>
  </w:sdt>
  <w:p w14:paraId="024725FF">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7EF152B"/>
    <w:multiLevelType w:val="singleLevel"/>
    <w:tmpl w:val="47EF152B"/>
    <w:lvl w:ilvl="0" w:tentative="0">
      <w:start w:val="1"/>
      <w:numFmt w:val="decimal"/>
      <w:suff w:val="nothing"/>
      <w:lvlText w:val="（%1）"/>
      <w:lvlJc w:val="left"/>
      <w:pPr>
        <w:ind w:left="562"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ZWM3YjhkYjM5NjU1YzgyNWNjOTJiODZhOTYxND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53741C"/>
    <w:rsid w:val="02D33AEB"/>
    <w:rsid w:val="03CE7CF1"/>
    <w:rsid w:val="051A6F66"/>
    <w:rsid w:val="06680BF7"/>
    <w:rsid w:val="07E21FBD"/>
    <w:rsid w:val="09463D77"/>
    <w:rsid w:val="094C6A76"/>
    <w:rsid w:val="0A070E2C"/>
    <w:rsid w:val="0AA27E70"/>
    <w:rsid w:val="0AA417AC"/>
    <w:rsid w:val="0C0A1AE2"/>
    <w:rsid w:val="0CFE46DD"/>
    <w:rsid w:val="13EB044B"/>
    <w:rsid w:val="142851FC"/>
    <w:rsid w:val="14B472A5"/>
    <w:rsid w:val="14D119F3"/>
    <w:rsid w:val="18BA49DA"/>
    <w:rsid w:val="19836A30"/>
    <w:rsid w:val="1ABB2C07"/>
    <w:rsid w:val="1BA03341"/>
    <w:rsid w:val="1FA0557D"/>
    <w:rsid w:val="20EF38A1"/>
    <w:rsid w:val="229A49B5"/>
    <w:rsid w:val="22CB7BA2"/>
    <w:rsid w:val="23ED4D6B"/>
    <w:rsid w:val="254774AC"/>
    <w:rsid w:val="269B3D60"/>
    <w:rsid w:val="27532288"/>
    <w:rsid w:val="283C0E1E"/>
    <w:rsid w:val="28920A3E"/>
    <w:rsid w:val="2A905451"/>
    <w:rsid w:val="2AE11386"/>
    <w:rsid w:val="2BA411B4"/>
    <w:rsid w:val="2C9254B0"/>
    <w:rsid w:val="2CBA67B5"/>
    <w:rsid w:val="2D4C6AD2"/>
    <w:rsid w:val="2D5A6638"/>
    <w:rsid w:val="310717AB"/>
    <w:rsid w:val="311F41E9"/>
    <w:rsid w:val="326A2A2B"/>
    <w:rsid w:val="33D13BC9"/>
    <w:rsid w:val="340D5924"/>
    <w:rsid w:val="342310E4"/>
    <w:rsid w:val="34733E19"/>
    <w:rsid w:val="362A1178"/>
    <w:rsid w:val="363500AF"/>
    <w:rsid w:val="363D33E6"/>
    <w:rsid w:val="379C6587"/>
    <w:rsid w:val="37F279C1"/>
    <w:rsid w:val="39284085"/>
    <w:rsid w:val="39F03B45"/>
    <w:rsid w:val="39F257E0"/>
    <w:rsid w:val="3A331B0D"/>
    <w:rsid w:val="3CCC056A"/>
    <w:rsid w:val="3CF655E7"/>
    <w:rsid w:val="3ED96F6F"/>
    <w:rsid w:val="41274A94"/>
    <w:rsid w:val="4136526A"/>
    <w:rsid w:val="41782A6F"/>
    <w:rsid w:val="43B04001"/>
    <w:rsid w:val="44202BA2"/>
    <w:rsid w:val="45687296"/>
    <w:rsid w:val="46001285"/>
    <w:rsid w:val="4609551D"/>
    <w:rsid w:val="472278DA"/>
    <w:rsid w:val="47D57668"/>
    <w:rsid w:val="485F5097"/>
    <w:rsid w:val="48667AA9"/>
    <w:rsid w:val="48E46C3C"/>
    <w:rsid w:val="4A82670C"/>
    <w:rsid w:val="4ABE0489"/>
    <w:rsid w:val="4B06733D"/>
    <w:rsid w:val="4D2606A1"/>
    <w:rsid w:val="4DAD1CF2"/>
    <w:rsid w:val="4DD42C22"/>
    <w:rsid w:val="4E134A35"/>
    <w:rsid w:val="4E345F70"/>
    <w:rsid w:val="4E3D7D7E"/>
    <w:rsid w:val="4EE86A4B"/>
    <w:rsid w:val="4FFC0D0F"/>
    <w:rsid w:val="500E2086"/>
    <w:rsid w:val="505C542A"/>
    <w:rsid w:val="50796DE0"/>
    <w:rsid w:val="51556929"/>
    <w:rsid w:val="52EB5081"/>
    <w:rsid w:val="54947FF9"/>
    <w:rsid w:val="550409D4"/>
    <w:rsid w:val="56D227CA"/>
    <w:rsid w:val="56F72230"/>
    <w:rsid w:val="5A1D242F"/>
    <w:rsid w:val="5AA359D0"/>
    <w:rsid w:val="5C875E04"/>
    <w:rsid w:val="5CF27722"/>
    <w:rsid w:val="5DA70C36"/>
    <w:rsid w:val="5DD53C6C"/>
    <w:rsid w:val="5F483D13"/>
    <w:rsid w:val="5FD160DC"/>
    <w:rsid w:val="60E667C9"/>
    <w:rsid w:val="6103059A"/>
    <w:rsid w:val="61B37F3E"/>
    <w:rsid w:val="61CC5C25"/>
    <w:rsid w:val="63B320EE"/>
    <w:rsid w:val="64DD2A65"/>
    <w:rsid w:val="660237E8"/>
    <w:rsid w:val="676E7ECB"/>
    <w:rsid w:val="67FD1DAB"/>
    <w:rsid w:val="681744E0"/>
    <w:rsid w:val="6903530E"/>
    <w:rsid w:val="6AF723A7"/>
    <w:rsid w:val="6C5C1109"/>
    <w:rsid w:val="6D477761"/>
    <w:rsid w:val="6E7C7749"/>
    <w:rsid w:val="6FA01084"/>
    <w:rsid w:val="70E64A50"/>
    <w:rsid w:val="716B6B6A"/>
    <w:rsid w:val="72845F62"/>
    <w:rsid w:val="730D09BA"/>
    <w:rsid w:val="756B57AF"/>
    <w:rsid w:val="767F4ACF"/>
    <w:rsid w:val="784C3649"/>
    <w:rsid w:val="78FC21E8"/>
    <w:rsid w:val="7A083D0E"/>
    <w:rsid w:val="7A4A6204"/>
    <w:rsid w:val="7B5F1FCE"/>
    <w:rsid w:val="7B720293"/>
    <w:rsid w:val="7C7B6554"/>
    <w:rsid w:val="7CC876FF"/>
    <w:rsid w:val="7D6438CC"/>
    <w:rsid w:val="7DD24CD9"/>
    <w:rsid w:val="7E9F0934"/>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11">
    <w:name w:val="annotation text"/>
    <w:basedOn w:val="1"/>
    <w:autoRedefine/>
    <w:unhideWhenUsed/>
    <w:qFormat/>
    <w:uiPriority w:val="99"/>
    <w:rPr>
      <w:rFonts w:cs="Times New Roman"/>
      <w:kern w:val="0"/>
      <w:sz w:val="20"/>
      <w:szCs w:val="20"/>
    </w:rPr>
  </w:style>
  <w:style w:type="paragraph" w:styleId="12">
    <w:name w:val="Plain Text"/>
    <w:basedOn w:val="1"/>
    <w:autoRedefine/>
    <w:qFormat/>
    <w:uiPriority w:val="0"/>
    <w:pPr>
      <w:adjustRightInd/>
      <w:snapToGrid/>
      <w:spacing w:afterLines="0"/>
      <w:ind w:firstLine="0" w:firstLineChars="0"/>
    </w:pPr>
    <w:rPr>
      <w:rFonts w:hAnsi="Courier New"/>
      <w:sz w:val="21"/>
      <w:szCs w:val="20"/>
    </w:rPr>
  </w:style>
  <w:style w:type="paragraph" w:styleId="13">
    <w:name w:val="Balloon Text"/>
    <w:basedOn w:val="1"/>
    <w:link w:val="48"/>
    <w:autoRedefine/>
    <w:semiHidden/>
    <w:unhideWhenUsed/>
    <w:qFormat/>
    <w:uiPriority w:val="99"/>
    <w:rPr>
      <w:sz w:val="18"/>
      <w:szCs w:val="18"/>
    </w:rPr>
  </w:style>
  <w:style w:type="paragraph" w:styleId="14">
    <w:name w:val="footer"/>
    <w:basedOn w:val="1"/>
    <w:link w:val="47"/>
    <w:autoRedefine/>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autoRedefine/>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next w:val="1"/>
    <w:link w:val="32"/>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autoRedefine/>
    <w:qFormat/>
    <w:uiPriority w:val="0"/>
    <w:rPr>
      <w:b/>
      <w:bCs/>
    </w:rPr>
  </w:style>
  <w:style w:type="character" w:styleId="22">
    <w:name w:val="Emphasis"/>
    <w:basedOn w:val="20"/>
    <w:autoRedefine/>
    <w:qFormat/>
    <w:uiPriority w:val="20"/>
    <w:rPr>
      <w:rFonts w:asciiTheme="minorHAnsi" w:hAnsiTheme="minorHAnsi"/>
      <w:b/>
      <w:i/>
      <w:iCs/>
    </w:rPr>
  </w:style>
  <w:style w:type="character" w:customStyle="1" w:styleId="23">
    <w:name w:val="标题 2 字符"/>
    <w:basedOn w:val="20"/>
    <w:link w:val="3"/>
    <w:autoRedefine/>
    <w:semiHidden/>
    <w:qFormat/>
    <w:uiPriority w:val="9"/>
    <w:rPr>
      <w:rFonts w:asciiTheme="majorHAnsi" w:hAnsiTheme="majorHAnsi" w:eastAsiaTheme="majorEastAsia"/>
      <w:b/>
      <w:bCs/>
      <w:i/>
      <w:iCs/>
      <w:sz w:val="28"/>
      <w:szCs w:val="28"/>
    </w:rPr>
  </w:style>
  <w:style w:type="character" w:customStyle="1" w:styleId="24">
    <w:name w:val="标题 1 字符"/>
    <w:basedOn w:val="20"/>
    <w:link w:val="2"/>
    <w:autoRedefine/>
    <w:qFormat/>
    <w:uiPriority w:val="9"/>
    <w:rPr>
      <w:rFonts w:asciiTheme="majorHAnsi" w:hAnsiTheme="majorHAnsi" w:eastAsiaTheme="majorEastAsia"/>
      <w:b/>
      <w:bCs/>
      <w:kern w:val="32"/>
      <w:sz w:val="32"/>
      <w:szCs w:val="32"/>
    </w:rPr>
  </w:style>
  <w:style w:type="character" w:customStyle="1" w:styleId="25">
    <w:name w:val="标题 3 字符"/>
    <w:basedOn w:val="20"/>
    <w:link w:val="4"/>
    <w:autoRedefine/>
    <w:semiHidden/>
    <w:qFormat/>
    <w:uiPriority w:val="9"/>
    <w:rPr>
      <w:rFonts w:asciiTheme="majorHAnsi" w:hAnsiTheme="majorHAnsi" w:eastAsiaTheme="majorEastAsia"/>
      <w:b/>
      <w:bCs/>
      <w:sz w:val="26"/>
      <w:szCs w:val="26"/>
    </w:rPr>
  </w:style>
  <w:style w:type="character" w:customStyle="1" w:styleId="26">
    <w:name w:val="标题 4 字符"/>
    <w:basedOn w:val="20"/>
    <w:link w:val="5"/>
    <w:autoRedefine/>
    <w:qFormat/>
    <w:uiPriority w:val="9"/>
    <w:rPr>
      <w:b/>
      <w:bCs/>
      <w:sz w:val="28"/>
      <w:szCs w:val="28"/>
    </w:rPr>
  </w:style>
  <w:style w:type="character" w:customStyle="1" w:styleId="27">
    <w:name w:val="标题 5 字符"/>
    <w:basedOn w:val="20"/>
    <w:link w:val="6"/>
    <w:autoRedefine/>
    <w:semiHidden/>
    <w:qFormat/>
    <w:uiPriority w:val="9"/>
    <w:rPr>
      <w:b/>
      <w:bCs/>
      <w:i/>
      <w:iCs/>
      <w:sz w:val="26"/>
      <w:szCs w:val="26"/>
    </w:rPr>
  </w:style>
  <w:style w:type="character" w:customStyle="1" w:styleId="28">
    <w:name w:val="标题 6 字符"/>
    <w:basedOn w:val="20"/>
    <w:link w:val="7"/>
    <w:autoRedefine/>
    <w:semiHidden/>
    <w:qFormat/>
    <w:uiPriority w:val="9"/>
    <w:rPr>
      <w:b/>
      <w:bCs/>
    </w:rPr>
  </w:style>
  <w:style w:type="character" w:customStyle="1" w:styleId="29">
    <w:name w:val="标题 7 字符"/>
    <w:basedOn w:val="20"/>
    <w:link w:val="8"/>
    <w:autoRedefine/>
    <w:semiHidden/>
    <w:qFormat/>
    <w:uiPriority w:val="9"/>
    <w:rPr>
      <w:sz w:val="24"/>
      <w:szCs w:val="24"/>
    </w:rPr>
  </w:style>
  <w:style w:type="character" w:customStyle="1" w:styleId="30">
    <w:name w:val="标题 8 字符"/>
    <w:basedOn w:val="20"/>
    <w:link w:val="9"/>
    <w:autoRedefine/>
    <w:semiHidden/>
    <w:qFormat/>
    <w:uiPriority w:val="9"/>
    <w:rPr>
      <w:i/>
      <w:iCs/>
      <w:sz w:val="24"/>
      <w:szCs w:val="24"/>
    </w:rPr>
  </w:style>
  <w:style w:type="character" w:customStyle="1" w:styleId="31">
    <w:name w:val="标题 9 字符"/>
    <w:basedOn w:val="20"/>
    <w:link w:val="10"/>
    <w:autoRedefine/>
    <w:semiHidden/>
    <w:qFormat/>
    <w:uiPriority w:val="9"/>
    <w:rPr>
      <w:rFonts w:asciiTheme="majorHAnsi" w:hAnsiTheme="majorHAnsi" w:eastAsiaTheme="majorEastAsia"/>
    </w:rPr>
  </w:style>
  <w:style w:type="character" w:customStyle="1" w:styleId="32">
    <w:name w:val="标题 字符"/>
    <w:basedOn w:val="20"/>
    <w:link w:val="18"/>
    <w:autoRedefine/>
    <w:qFormat/>
    <w:uiPriority w:val="10"/>
    <w:rPr>
      <w:rFonts w:asciiTheme="majorHAnsi" w:hAnsiTheme="majorHAnsi" w:eastAsiaTheme="majorEastAsia"/>
      <w:b/>
      <w:bCs/>
      <w:kern w:val="28"/>
      <w:sz w:val="32"/>
      <w:szCs w:val="32"/>
    </w:rPr>
  </w:style>
  <w:style w:type="character" w:customStyle="1" w:styleId="33">
    <w:name w:val="副标题 字符"/>
    <w:basedOn w:val="20"/>
    <w:link w:val="16"/>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autoRedefine/>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autoRedefine/>
    <w:qFormat/>
    <w:uiPriority w:val="29"/>
    <w:rPr>
      <w:i/>
      <w:sz w:val="24"/>
      <w:szCs w:val="24"/>
    </w:rPr>
  </w:style>
  <w:style w:type="paragraph" w:styleId="38">
    <w:name w:val="Intense Quote"/>
    <w:basedOn w:val="1"/>
    <w:next w:val="1"/>
    <w:link w:val="39"/>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autoRedefine/>
    <w:qFormat/>
    <w:uiPriority w:val="30"/>
    <w:rPr>
      <w:b/>
      <w:i/>
      <w:sz w:val="24"/>
    </w:rPr>
  </w:style>
  <w:style w:type="character" w:customStyle="1" w:styleId="40">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autoRedefine/>
    <w:qFormat/>
    <w:uiPriority w:val="21"/>
    <w:rPr>
      <w:b/>
      <w:i/>
      <w:sz w:val="24"/>
      <w:szCs w:val="24"/>
      <w:u w:val="single"/>
    </w:rPr>
  </w:style>
  <w:style w:type="character" w:customStyle="1" w:styleId="42">
    <w:name w:val="不明显参考1"/>
    <w:basedOn w:val="20"/>
    <w:autoRedefine/>
    <w:qFormat/>
    <w:uiPriority w:val="31"/>
    <w:rPr>
      <w:sz w:val="24"/>
      <w:szCs w:val="24"/>
      <w:u w:val="single"/>
    </w:rPr>
  </w:style>
  <w:style w:type="character" w:customStyle="1" w:styleId="43">
    <w:name w:val="明显参考1"/>
    <w:basedOn w:val="20"/>
    <w:autoRedefine/>
    <w:qFormat/>
    <w:uiPriority w:val="32"/>
    <w:rPr>
      <w:b/>
      <w:sz w:val="24"/>
      <w:u w:val="single"/>
    </w:rPr>
  </w:style>
  <w:style w:type="character" w:customStyle="1" w:styleId="44">
    <w:name w:val="书籍标题1"/>
    <w:basedOn w:val="20"/>
    <w:autoRedefine/>
    <w:qFormat/>
    <w:uiPriority w:val="33"/>
    <w:rPr>
      <w:rFonts w:asciiTheme="majorHAnsi" w:hAnsiTheme="majorHAnsi" w:eastAsiaTheme="majorEastAsia"/>
      <w:b/>
      <w:i/>
      <w:sz w:val="24"/>
      <w:szCs w:val="24"/>
    </w:rPr>
  </w:style>
  <w:style w:type="paragraph" w:customStyle="1" w:styleId="45">
    <w:name w:val="TOC 标题1"/>
    <w:basedOn w:val="2"/>
    <w:next w:val="1"/>
    <w:autoRedefine/>
    <w:semiHidden/>
    <w:unhideWhenUsed/>
    <w:qFormat/>
    <w:uiPriority w:val="39"/>
    <w:pPr>
      <w:outlineLvl w:val="9"/>
    </w:pPr>
    <w:rPr>
      <w:lang w:eastAsia="en-US" w:bidi="en-US"/>
    </w:rPr>
  </w:style>
  <w:style w:type="character" w:customStyle="1" w:styleId="46">
    <w:name w:val="页眉 字符"/>
    <w:basedOn w:val="20"/>
    <w:link w:val="15"/>
    <w:autoRedefine/>
    <w:qFormat/>
    <w:uiPriority w:val="99"/>
    <w:rPr>
      <w:rFonts w:ascii="Calibri" w:hAnsi="Calibri" w:eastAsia="宋体"/>
      <w:kern w:val="2"/>
      <w:sz w:val="18"/>
      <w:szCs w:val="18"/>
    </w:rPr>
  </w:style>
  <w:style w:type="character" w:customStyle="1" w:styleId="47">
    <w:name w:val="页脚 字符"/>
    <w:basedOn w:val="20"/>
    <w:link w:val="14"/>
    <w:autoRedefine/>
    <w:qFormat/>
    <w:uiPriority w:val="99"/>
    <w:rPr>
      <w:rFonts w:ascii="Calibri" w:hAnsi="Calibri" w:eastAsia="宋体"/>
      <w:kern w:val="2"/>
      <w:sz w:val="18"/>
      <w:szCs w:val="18"/>
    </w:rPr>
  </w:style>
  <w:style w:type="character" w:customStyle="1" w:styleId="48">
    <w:name w:val="批注框文本 字符"/>
    <w:basedOn w:val="20"/>
    <w:link w:val="13"/>
    <w:autoRedefine/>
    <w:semiHidden/>
    <w:qFormat/>
    <w:uiPriority w:val="99"/>
    <w:rPr>
      <w:rFonts w:ascii="Times New Roman" w:hAnsi="Times New Roman" w:eastAsia="宋体"/>
      <w:kern w:val="2"/>
      <w:sz w:val="18"/>
      <w:szCs w:val="18"/>
    </w:rPr>
  </w:style>
  <w:style w:type="paragraph" w:customStyle="1" w:styleId="49">
    <w:name w:val="闻政-正文段落文字"/>
    <w:basedOn w:val="1"/>
    <w:autoRedefine/>
    <w:qFormat/>
    <w:uiPriority w:val="3"/>
    <w:pPr>
      <w:spacing w:line="500" w:lineRule="exact"/>
      <w:ind w:firstLine="200"/>
    </w:pPr>
    <w:rPr>
      <w:rFonts w:cs="Times New Roman"/>
      <w:kern w:val="0"/>
      <w:szCs w:val="28"/>
    </w:rPr>
  </w:style>
  <w:style w:type="paragraph" w:customStyle="1" w:styleId="50">
    <w:name w:val="闻政-正文二级标题"/>
    <w:basedOn w:val="3"/>
    <w:next w:val="49"/>
    <w:autoRedefine/>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2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2">
    <w:name w:val="font31"/>
    <w:basedOn w:val="20"/>
    <w:autoRedefine/>
    <w:qFormat/>
    <w:uiPriority w:val="0"/>
    <w:rPr>
      <w:rFonts w:hint="default" w:ascii="Times New Roman" w:hAnsi="Times New Roman" w:cs="Times New Roman"/>
      <w:color w:val="000000"/>
      <w:sz w:val="24"/>
      <w:szCs w:val="24"/>
      <w:u w:val="none"/>
    </w:rPr>
  </w:style>
  <w:style w:type="character" w:customStyle="1" w:styleId="53">
    <w:name w:val="font61"/>
    <w:basedOn w:val="20"/>
    <w:autoRedefine/>
    <w:qFormat/>
    <w:uiPriority w:val="0"/>
    <w:rPr>
      <w:rFonts w:hint="eastAsia" w:ascii="微软雅黑" w:hAnsi="微软雅黑" w:eastAsia="微软雅黑" w:cs="微软雅黑"/>
      <w:color w:val="000000"/>
      <w:sz w:val="24"/>
      <w:szCs w:val="24"/>
      <w:u w:val="none"/>
    </w:rPr>
  </w:style>
  <w:style w:type="character" w:customStyle="1" w:styleId="54">
    <w:name w:val="font5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5">
    <w:name w:val="font41"/>
    <w:basedOn w:val="20"/>
    <w:autoRedefine/>
    <w:qFormat/>
    <w:uiPriority w:val="0"/>
    <w:rPr>
      <w:rFonts w:hint="eastAsia" w:ascii="方正仿宋_GBK" w:hAnsi="方正仿宋_GBK" w:eastAsia="方正仿宋_GBK" w:cs="方正仿宋_GBK"/>
      <w:color w:val="000000"/>
      <w:sz w:val="24"/>
      <w:szCs w:val="24"/>
      <w:u w:val="none"/>
    </w:rPr>
  </w:style>
  <w:style w:type="character" w:customStyle="1" w:styleId="56">
    <w:name w:val="font81"/>
    <w:basedOn w:val="20"/>
    <w:autoRedefine/>
    <w:qFormat/>
    <w:uiPriority w:val="0"/>
    <w:rPr>
      <w:rFonts w:hint="eastAsia" w:ascii="微软雅黑" w:hAnsi="微软雅黑" w:eastAsia="微软雅黑" w:cs="微软雅黑"/>
      <w:color w:val="000000"/>
      <w:sz w:val="24"/>
      <w:szCs w:val="24"/>
      <w:u w:val="none"/>
    </w:rPr>
  </w:style>
  <w:style w:type="character" w:customStyle="1" w:styleId="57">
    <w:name w:val="font71"/>
    <w:basedOn w:val="20"/>
    <w:autoRedefine/>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13346</Words>
  <Characters>13915</Characters>
  <Lines>5</Lines>
  <Paragraphs>1</Paragraphs>
  <TotalTime>34</TotalTime>
  <ScaleCrop>false</ScaleCrop>
  <LinksUpToDate>false</LinksUpToDate>
  <CharactersWithSpaces>14079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Lz</cp:lastModifiedBy>
  <cp:lastPrinted>2024-04-07T03:33:00Z</cp:lastPrinted>
  <dcterms:modified xsi:type="dcterms:W3CDTF">2026-01-28T04:02:40Z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180E246A7C03460B97761024DCA7A59B_13</vt:lpwstr>
  </property>
  <property fmtid="{D5CDD505-2E9C-101B-9397-08002B2CF9AE}" pid="4" name="KSOTemplateDocerSaveRecord">
    <vt:lpwstr>eyJoZGlkIjoiOGI4YzQyYzViNTJiMTBjODFiNWQ3OGVlYjhmNzkxY2EiLCJ1c2VySWQiOiIzNjMwMTEzODcifQ==</vt:lpwstr>
  </property>
</Properties>
</file>