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2D0E3E">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14:paraId="5EBB4ED2">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14:paraId="7F0C832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新疆维吾尔自治区自然资源法律事务中心</w:t>
      </w:r>
    </w:p>
    <w:p w14:paraId="637195A5">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14:paraId="7BD22E1F">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14:paraId="473CD239">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14:paraId="15C4F60B">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14:paraId="107DB134">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14:paraId="2FA51622">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14:paraId="6F615C57">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14:paraId="546DF324">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14:paraId="4C49A4C1">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14:paraId="0C230E7E">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14:paraId="09142E7C">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14:paraId="11B5C706">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14:paraId="525FFED4">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14:paraId="772A927D">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14:paraId="2291F411">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1779060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14:paraId="210DECFF">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14:paraId="6D91C9E7">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7B93E1EE">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14:paraId="5A4107CA">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14:paraId="7B4CDF8F">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14:paraId="2215B04E">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14:paraId="51CEF979">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14:paraId="45501F00">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14:paraId="61DE49CC">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14:paraId="0E961B79">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14:paraId="5DB64177">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14:paraId="2D637C03">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14:paraId="540B03D1">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14:paraId="0DFD6127">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14:paraId="4173C1D9">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14:paraId="18A6B783">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14:paraId="3D949A3B">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14:paraId="1FC2A6A4">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14:paraId="5196A361">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14:paraId="668F69A2">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14:paraId="528121A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14:paraId="2A12218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14:paraId="3C3E52C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1.开展自然资源地方性立法研究、前期调研论证及立法后评估工作。</w:t>
      </w:r>
    </w:p>
    <w:p w14:paraId="2DEE62A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2.协助办理自然资源行政复议、行政诉讼案件；对厅行政复议及行政应诉案件进行分析，提出案件办理意见建议。</w:t>
      </w:r>
    </w:p>
    <w:p w14:paraId="78140A4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3.协助对自然资源厅交办的自然资源违法案件行政处罚决定进行合法性审查工作。</w:t>
      </w:r>
    </w:p>
    <w:p w14:paraId="40944FD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4.协助开展自然资源普法工作，向社会提供自然资源法律法规及政策的咨询服务工作。</w:t>
      </w:r>
    </w:p>
    <w:p w14:paraId="69B3D6F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4" w:name="_Toc31238"/>
      <w:bookmarkStart w:id="5" w:name="_Toc2151"/>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14:paraId="2BD0243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新疆维吾尔自治区自然资源法律事务中心</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19</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15</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4</w:t>
      </w:r>
      <w:r>
        <w:rPr>
          <w:rFonts w:hint="eastAsia" w:ascii="仿宋_GB2312" w:eastAsia="仿宋_GB2312"/>
          <w:color w:val="auto"/>
          <w:sz w:val="32"/>
          <w:szCs w:val="32"/>
          <w:highlight w:val="none"/>
        </w:rPr>
        <w:t>人。</w:t>
      </w:r>
    </w:p>
    <w:p w14:paraId="0780B104">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宋体" w:eastAsia="仿宋_GB2312" w:cs="宋体"/>
          <w:color w:val="auto"/>
          <w:kern w:val="0"/>
          <w:sz w:val="32"/>
          <w:szCs w:val="32"/>
          <w:highlight w:val="none"/>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color w:val="auto"/>
          <w:kern w:val="0"/>
          <w:sz w:val="32"/>
          <w:szCs w:val="32"/>
          <w:highlight w:val="none"/>
        </w:rPr>
        <w:t>单位无下属预算单位，</w:t>
      </w:r>
      <w:r>
        <w:rPr>
          <w:rFonts w:hint="eastAsia" w:ascii="仿宋_GB2312" w:hAnsi="黑体" w:eastAsia="仿宋_GB2312" w:cs="宋体"/>
          <w:bCs/>
          <w:color w:val="auto"/>
          <w:kern w:val="0"/>
          <w:sz w:val="32"/>
          <w:szCs w:val="32"/>
          <w:highlight w:val="none"/>
          <w:lang w:eastAsia="zh-CN"/>
        </w:rPr>
        <w:t>无</w:t>
      </w:r>
      <w:r>
        <w:rPr>
          <w:rFonts w:hint="eastAsia" w:ascii="仿宋_GB2312" w:hAnsi="黑体" w:eastAsia="仿宋_GB2312" w:cs="宋体"/>
          <w:bCs/>
          <w:color w:val="auto"/>
          <w:kern w:val="0"/>
          <w:sz w:val="32"/>
          <w:szCs w:val="32"/>
          <w:highlight w:val="none"/>
        </w:rPr>
        <w:t>下设处室</w:t>
      </w:r>
      <w:r>
        <w:rPr>
          <w:rFonts w:hint="eastAsia" w:ascii="仿宋_GB2312" w:hAnsi="宋体" w:eastAsia="仿宋_GB2312" w:cs="宋体"/>
          <w:color w:val="auto"/>
          <w:kern w:val="0"/>
          <w:sz w:val="32"/>
          <w:szCs w:val="32"/>
          <w:highlight w:val="none"/>
        </w:rPr>
        <w:t>。</w:t>
      </w:r>
    </w:p>
    <w:p w14:paraId="45948D7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3092"/>
      <w:bookmarkStart w:id="7" w:name="_Toc29374"/>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14:paraId="3F6387D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14:paraId="6A13B85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391.76万元，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391.76万元，使用非财政拨款结余0.00万元，年初结转和结余0.00万元。</w:t>
      </w:r>
    </w:p>
    <w:p w14:paraId="7652E26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391.76万元，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391.76万元，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0.00万元，年末结转和结余0.00万元。</w:t>
      </w:r>
    </w:p>
    <w:p w14:paraId="7D6D46D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增加391.76万元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w:t>
      </w:r>
      <w:r>
        <w:rPr>
          <w:rFonts w:hint="eastAsia" w:ascii="仿宋_GB2312" w:eastAsia="仿宋_GB2312"/>
          <w:color w:val="auto"/>
          <w:spacing w:val="0"/>
          <w:sz w:val="32"/>
          <w:szCs w:val="32"/>
          <w:highlight w:val="none"/>
          <w:lang w:val="en-US" w:eastAsia="zh-CN"/>
        </w:rPr>
        <w:t>10</w:t>
      </w:r>
      <w:r>
        <w:rPr>
          <w:rFonts w:hint="eastAsia" w:ascii="仿宋_GB2312" w:eastAsia="仿宋_GB2312"/>
          <w:color w:val="auto"/>
          <w:spacing w:val="0"/>
          <w:sz w:val="32"/>
          <w:szCs w:val="32"/>
          <w:highlight w:val="none"/>
          <w:lang w:val="zh-CN" w:eastAsia="zh-CN"/>
        </w:rPr>
        <w:t>0</w:t>
      </w:r>
      <w:r>
        <w:rPr>
          <w:rFonts w:hint="eastAsia" w:ascii="仿宋_GB2312" w:eastAsia="仿宋_GB2312"/>
          <w:color w:val="auto"/>
          <w:spacing w:val="0"/>
          <w:sz w:val="32"/>
          <w:szCs w:val="32"/>
          <w:highlight w:val="none"/>
          <w:lang w:val="en-US" w:eastAsia="zh-CN"/>
        </w:rPr>
        <w:t>.00</w:t>
      </w:r>
      <w:r>
        <w:rPr>
          <w:rFonts w:hint="eastAsia" w:ascii="仿宋_GB2312" w:eastAsia="仿宋_GB2312"/>
          <w:color w:val="auto"/>
          <w:spacing w:val="0"/>
          <w:sz w:val="32"/>
          <w:szCs w:val="32"/>
          <w:highlight w:val="none"/>
          <w:lang w:val="zh-CN" w:eastAsia="zh-CN"/>
        </w:rPr>
        <w:t>%</w:t>
      </w:r>
      <w:r>
        <w:rPr>
          <w:rFonts w:hint="eastAsia" w:ascii="仿宋_GB2312" w:eastAsia="仿宋_GB2312"/>
          <w:color w:val="auto"/>
          <w:spacing w:val="0"/>
          <w:sz w:val="32"/>
          <w:szCs w:val="32"/>
          <w:highlight w:val="none"/>
          <w:lang w:eastAsia="zh-CN"/>
        </w:rPr>
        <w:t>，主要原因是：中心于</w:t>
      </w:r>
      <w:r>
        <w:rPr>
          <w:rFonts w:hint="eastAsia" w:ascii="仿宋_GB2312" w:eastAsia="仿宋_GB2312"/>
          <w:color w:val="auto"/>
          <w:spacing w:val="0"/>
          <w:sz w:val="32"/>
          <w:szCs w:val="32"/>
          <w:highlight w:val="none"/>
          <w:lang w:val="en-US" w:eastAsia="zh-CN"/>
        </w:rPr>
        <w:t>2023年开始</w:t>
      </w:r>
      <w:r>
        <w:rPr>
          <w:rFonts w:hint="eastAsia" w:ascii="仿宋_GB2312" w:eastAsia="仿宋_GB2312"/>
          <w:color w:val="auto"/>
          <w:spacing w:val="0"/>
          <w:sz w:val="32"/>
          <w:szCs w:val="32"/>
          <w:highlight w:val="none"/>
          <w:lang w:eastAsia="zh-CN"/>
        </w:rPr>
        <w:t>财务独立，往年未单独申请经费。</w:t>
      </w:r>
    </w:p>
    <w:p w14:paraId="6FA3691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14:paraId="04AD2F7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391.76</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391.75</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100.00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0.01</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14:paraId="0DC903B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14:paraId="41216E6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本年支出391.76万元，其中：基本支出391.75万元，占100.00%；项目支出0.01万元，占0.00%；上缴上级支出0.00万元，占0.00%；经营支出0.00万元，占0.00%；对附属单位补助支出0.00万元，占0.00%。</w:t>
      </w:r>
    </w:p>
    <w:p w14:paraId="44F0E9A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14:paraId="31A5B54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391.75</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391.75</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391.75</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391.75</w:t>
      </w:r>
      <w:r>
        <w:rPr>
          <w:rFonts w:hint="eastAsia" w:ascii="仿宋_GB2312" w:eastAsia="仿宋_GB2312"/>
          <w:color w:val="auto"/>
          <w:spacing w:val="0"/>
          <w:sz w:val="32"/>
          <w:szCs w:val="32"/>
          <w:highlight w:val="none"/>
          <w:lang w:eastAsia="zh-CN"/>
        </w:rPr>
        <w:t>万元。</w:t>
      </w:r>
    </w:p>
    <w:p w14:paraId="1AC5BA2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增加391.75万元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w:t>
      </w:r>
      <w:r>
        <w:rPr>
          <w:rFonts w:hint="eastAsia" w:ascii="仿宋_GB2312" w:eastAsia="仿宋_GB2312"/>
          <w:color w:val="auto"/>
          <w:spacing w:val="0"/>
          <w:sz w:val="32"/>
          <w:szCs w:val="32"/>
          <w:highlight w:val="none"/>
          <w:lang w:val="en-US" w:eastAsia="zh-CN"/>
        </w:rPr>
        <w:t>10</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主要原因是：中心于</w:t>
      </w:r>
      <w:r>
        <w:rPr>
          <w:rFonts w:hint="eastAsia" w:ascii="仿宋_GB2312" w:eastAsia="仿宋_GB2312"/>
          <w:color w:val="auto"/>
          <w:spacing w:val="0"/>
          <w:sz w:val="32"/>
          <w:szCs w:val="32"/>
          <w:highlight w:val="none"/>
          <w:lang w:val="en-US" w:eastAsia="zh-CN"/>
        </w:rPr>
        <w:t>2023年开始</w:t>
      </w:r>
      <w:r>
        <w:rPr>
          <w:rFonts w:hint="eastAsia" w:ascii="仿宋_GB2312" w:eastAsia="仿宋_GB2312"/>
          <w:color w:val="auto"/>
          <w:spacing w:val="0"/>
          <w:sz w:val="32"/>
          <w:szCs w:val="32"/>
          <w:highlight w:val="none"/>
          <w:lang w:eastAsia="zh-CN"/>
        </w:rPr>
        <w:t>财务独立，往年未单独申请经费。与年初预算相比，年初预算数</w:t>
      </w:r>
      <w:r>
        <w:rPr>
          <w:rFonts w:hint="eastAsia" w:ascii="仿宋_GB2312" w:eastAsia="仿宋_GB2312"/>
          <w:color w:val="auto"/>
          <w:spacing w:val="0"/>
          <w:sz w:val="32"/>
          <w:szCs w:val="32"/>
          <w:highlight w:val="none"/>
          <w:lang w:val="zh-CN" w:eastAsia="zh-CN"/>
        </w:rPr>
        <w:t>342.09</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391.75</w:t>
      </w:r>
      <w:r>
        <w:rPr>
          <w:rFonts w:hint="eastAsia" w:ascii="仿宋_GB2312" w:eastAsia="仿宋_GB2312"/>
          <w:color w:val="auto"/>
          <w:spacing w:val="0"/>
          <w:sz w:val="32"/>
          <w:szCs w:val="32"/>
          <w:highlight w:val="none"/>
          <w:lang w:eastAsia="zh-CN"/>
        </w:rPr>
        <w:t>万元，预决算差异率14.52%，主要原因是：因年中追加人员经费、项目经费，故决算数与年初预算数有差异。</w:t>
      </w:r>
    </w:p>
    <w:p w14:paraId="38D4719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14:paraId="5A344AE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14:paraId="5A1350A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2023年度一般公共预算财政拨款支出391.75万元，占本年支出合计的</w:t>
      </w:r>
      <w:r>
        <w:rPr>
          <w:rFonts w:hint="eastAsia" w:ascii="仿宋_GB2312" w:eastAsia="仿宋_GB2312"/>
          <w:color w:val="auto"/>
          <w:spacing w:val="0"/>
          <w:sz w:val="32"/>
          <w:szCs w:val="32"/>
          <w:highlight w:val="none"/>
          <w:lang w:val="zh-CN" w:eastAsia="zh-CN"/>
        </w:rPr>
        <w:t>100.00%</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增加391.75万元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w:t>
      </w:r>
      <w:r>
        <w:rPr>
          <w:rFonts w:hint="eastAsia" w:ascii="仿宋_GB2312" w:eastAsia="仿宋_GB2312"/>
          <w:color w:val="auto"/>
          <w:spacing w:val="0"/>
          <w:sz w:val="32"/>
          <w:szCs w:val="32"/>
          <w:highlight w:val="none"/>
          <w:lang w:val="en-US" w:eastAsia="zh-CN"/>
        </w:rPr>
        <w:t>10</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主要原因是：中心于</w:t>
      </w:r>
      <w:r>
        <w:rPr>
          <w:rFonts w:hint="eastAsia" w:ascii="仿宋_GB2312" w:eastAsia="仿宋_GB2312"/>
          <w:color w:val="auto"/>
          <w:spacing w:val="0"/>
          <w:sz w:val="32"/>
          <w:szCs w:val="32"/>
          <w:highlight w:val="none"/>
          <w:lang w:val="en-US" w:eastAsia="zh-CN"/>
        </w:rPr>
        <w:t>2023年开始</w:t>
      </w:r>
      <w:r>
        <w:rPr>
          <w:rFonts w:hint="eastAsia" w:ascii="仿宋_GB2312" w:eastAsia="仿宋_GB2312"/>
          <w:color w:val="auto"/>
          <w:spacing w:val="0"/>
          <w:sz w:val="32"/>
          <w:szCs w:val="32"/>
          <w:highlight w:val="none"/>
          <w:lang w:eastAsia="zh-CN"/>
        </w:rPr>
        <w:t>财务独立，往年未单独申请经费。与年初预算相比，年初预算数</w:t>
      </w:r>
      <w:r>
        <w:rPr>
          <w:rFonts w:hint="eastAsia" w:ascii="仿宋_GB2312" w:eastAsia="仿宋_GB2312"/>
          <w:color w:val="auto"/>
          <w:spacing w:val="0"/>
          <w:sz w:val="32"/>
          <w:szCs w:val="32"/>
          <w:highlight w:val="none"/>
          <w:lang w:val="zh-CN" w:eastAsia="zh-CN"/>
        </w:rPr>
        <w:t>342.09</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391.75</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14.52%</w:t>
      </w:r>
      <w:r>
        <w:rPr>
          <w:rFonts w:hint="eastAsia" w:ascii="仿宋_GB2312" w:eastAsia="仿宋_GB2312"/>
          <w:color w:val="auto"/>
          <w:spacing w:val="0"/>
          <w:sz w:val="32"/>
          <w:szCs w:val="32"/>
          <w:highlight w:val="none"/>
          <w:lang w:eastAsia="zh-CN"/>
        </w:rPr>
        <w:t>，主要原因是：因年中追加人员经费、项目经费，故决算数与年初预算数有差异。</w:t>
      </w:r>
    </w:p>
    <w:p w14:paraId="285E62D5">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14:paraId="77DA5A8A">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1</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45.25</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11.55</w:t>
      </w:r>
      <w:r>
        <w:rPr>
          <w:rFonts w:hint="default" w:ascii="仿宋_GB2312" w:hAnsi="Times New Roman" w:eastAsia="仿宋_GB2312" w:cs="Times New Roman"/>
          <w:color w:val="auto"/>
          <w:spacing w:val="0"/>
          <w:kern w:val="2"/>
          <w:sz w:val="32"/>
          <w:szCs w:val="32"/>
          <w:highlight w:val="none"/>
          <w:lang w:val="zh-CN" w:eastAsia="zh-CN" w:bidi="ar-SA"/>
        </w:rPr>
        <w:t>%；</w:t>
      </w:r>
    </w:p>
    <w:p w14:paraId="3FB2EA1A">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23.02</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5.88</w:t>
      </w:r>
      <w:r>
        <w:rPr>
          <w:rFonts w:hint="default" w:ascii="仿宋_GB2312" w:hAnsi="Times New Roman" w:eastAsia="仿宋_GB2312" w:cs="Times New Roman"/>
          <w:color w:val="auto"/>
          <w:spacing w:val="0"/>
          <w:kern w:val="2"/>
          <w:sz w:val="32"/>
          <w:szCs w:val="32"/>
          <w:highlight w:val="none"/>
          <w:lang w:val="zh-CN" w:eastAsia="zh-CN" w:bidi="ar-SA"/>
        </w:rPr>
        <w:t>%；</w:t>
      </w:r>
    </w:p>
    <w:p w14:paraId="3F642943">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自然资源海洋气象等支出（类）</w:t>
      </w:r>
      <w:r>
        <w:rPr>
          <w:rFonts w:hint="eastAsia" w:ascii="仿宋_GB2312" w:hAnsi="Times New Roman" w:eastAsia="仿宋_GB2312" w:cs="Times New Roman"/>
          <w:color w:val="auto"/>
          <w:spacing w:val="0"/>
          <w:kern w:val="2"/>
          <w:sz w:val="32"/>
          <w:szCs w:val="32"/>
          <w:highlight w:val="none"/>
          <w:lang w:val="zh-CN" w:eastAsia="zh-CN" w:bidi="ar-SA"/>
        </w:rPr>
        <w:t>305.42</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77.96</w:t>
      </w:r>
      <w:r>
        <w:rPr>
          <w:rFonts w:hint="default" w:ascii="仿宋_GB2312" w:hAnsi="Times New Roman" w:eastAsia="仿宋_GB2312" w:cs="Times New Roman"/>
          <w:color w:val="auto"/>
          <w:spacing w:val="0"/>
          <w:kern w:val="2"/>
          <w:sz w:val="32"/>
          <w:szCs w:val="32"/>
          <w:highlight w:val="none"/>
          <w:lang w:val="zh-CN" w:eastAsia="zh-CN" w:bidi="ar-SA"/>
        </w:rPr>
        <w:t>%；</w:t>
      </w:r>
    </w:p>
    <w:p w14:paraId="2B33B01B">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18.05</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4.61</w:t>
      </w:r>
      <w:r>
        <w:rPr>
          <w:rFonts w:hint="default" w:ascii="仿宋_GB2312" w:hAnsi="Times New Roman" w:eastAsia="仿宋_GB2312" w:cs="Times New Roman"/>
          <w:color w:val="auto"/>
          <w:spacing w:val="0"/>
          <w:kern w:val="2"/>
          <w:sz w:val="32"/>
          <w:szCs w:val="32"/>
          <w:highlight w:val="none"/>
          <w:lang w:val="zh-CN" w:eastAsia="zh-CN" w:bidi="ar-SA"/>
        </w:rPr>
        <w:t>%；</w:t>
      </w:r>
    </w:p>
    <w:p w14:paraId="633BCF5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14:paraId="33AC0E7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1.卫生健康支出（类）行政事业单位医疗（款）行政单位医疗（项）:支出决算数为12.49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12.49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w:t>
      </w:r>
      <w:r>
        <w:rPr>
          <w:rFonts w:hint="eastAsia" w:eastAsia="仿宋_GB2312" w:cs="Times New Roman"/>
          <w:color w:val="auto"/>
          <w:kern w:val="2"/>
          <w:sz w:val="32"/>
          <w:szCs w:val="32"/>
          <w:highlight w:val="none"/>
          <w:lang w:val="en-US" w:eastAsia="zh-CN" w:bidi="ar-SA"/>
        </w:rPr>
        <w:t>.00</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ascii="仿宋_GB2312" w:eastAsia="仿宋_GB2312"/>
          <w:color w:val="auto"/>
          <w:spacing w:val="0"/>
          <w:sz w:val="32"/>
          <w:szCs w:val="32"/>
          <w:highlight w:val="none"/>
          <w:lang w:eastAsia="zh-CN"/>
        </w:rPr>
        <w:t>中心于</w:t>
      </w:r>
      <w:r>
        <w:rPr>
          <w:rFonts w:hint="eastAsia" w:ascii="仿宋_GB2312" w:eastAsia="仿宋_GB2312"/>
          <w:color w:val="auto"/>
          <w:spacing w:val="0"/>
          <w:sz w:val="32"/>
          <w:szCs w:val="32"/>
          <w:highlight w:val="none"/>
          <w:lang w:val="en-US" w:eastAsia="zh-CN"/>
        </w:rPr>
        <w:t>2023年开始</w:t>
      </w:r>
      <w:r>
        <w:rPr>
          <w:rFonts w:hint="eastAsia" w:ascii="仿宋_GB2312" w:eastAsia="仿宋_GB2312"/>
          <w:color w:val="auto"/>
          <w:spacing w:val="0"/>
          <w:sz w:val="32"/>
          <w:szCs w:val="32"/>
          <w:highlight w:val="none"/>
          <w:lang w:eastAsia="zh-CN"/>
        </w:rPr>
        <w:t>财务独立，往年未单独申请经费</w:t>
      </w:r>
      <w:r>
        <w:rPr>
          <w:rFonts w:hint="eastAsia" w:eastAsia="仿宋_GB2312" w:cs="Times New Roman"/>
          <w:color w:val="auto"/>
          <w:kern w:val="2"/>
          <w:sz w:val="32"/>
          <w:szCs w:val="32"/>
          <w:highlight w:val="none"/>
          <w:lang w:val="zh-CN" w:eastAsia="zh-CN" w:bidi="ar-SA"/>
        </w:rPr>
        <w:t>。</w:t>
      </w:r>
    </w:p>
    <w:p w14:paraId="484EF66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2.卫生健康支出（类）行政事业单位医疗（款）公务员医疗补助（项）:支出决算数为10.53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10.53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w:t>
      </w:r>
      <w:r>
        <w:rPr>
          <w:rFonts w:hint="eastAsia" w:eastAsia="仿宋_GB2312" w:cs="Times New Roman"/>
          <w:color w:val="auto"/>
          <w:kern w:val="2"/>
          <w:sz w:val="32"/>
          <w:szCs w:val="32"/>
          <w:highlight w:val="none"/>
          <w:lang w:val="en-US" w:eastAsia="zh-CN" w:bidi="ar-SA"/>
        </w:rPr>
        <w:t>.00</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ascii="仿宋_GB2312" w:eastAsia="仿宋_GB2312"/>
          <w:color w:val="auto"/>
          <w:spacing w:val="0"/>
          <w:sz w:val="32"/>
          <w:szCs w:val="32"/>
          <w:highlight w:val="none"/>
          <w:lang w:eastAsia="zh-CN"/>
        </w:rPr>
        <w:t>中心于</w:t>
      </w:r>
      <w:r>
        <w:rPr>
          <w:rFonts w:hint="eastAsia" w:ascii="仿宋_GB2312" w:eastAsia="仿宋_GB2312"/>
          <w:color w:val="auto"/>
          <w:spacing w:val="0"/>
          <w:sz w:val="32"/>
          <w:szCs w:val="32"/>
          <w:highlight w:val="none"/>
          <w:lang w:val="en-US" w:eastAsia="zh-CN"/>
        </w:rPr>
        <w:t>2023年开始</w:t>
      </w:r>
      <w:r>
        <w:rPr>
          <w:rFonts w:hint="eastAsia" w:ascii="仿宋_GB2312" w:eastAsia="仿宋_GB2312"/>
          <w:color w:val="auto"/>
          <w:spacing w:val="0"/>
          <w:sz w:val="32"/>
          <w:szCs w:val="32"/>
          <w:highlight w:val="none"/>
          <w:lang w:eastAsia="zh-CN"/>
        </w:rPr>
        <w:t>财务独立，往年未单独申请经费</w:t>
      </w:r>
      <w:r>
        <w:rPr>
          <w:rFonts w:hint="eastAsia" w:eastAsia="仿宋_GB2312" w:cs="Times New Roman"/>
          <w:color w:val="auto"/>
          <w:kern w:val="2"/>
          <w:sz w:val="32"/>
          <w:szCs w:val="32"/>
          <w:highlight w:val="none"/>
          <w:lang w:val="zh-CN" w:eastAsia="zh-CN" w:bidi="ar-SA"/>
        </w:rPr>
        <w:t>。</w:t>
      </w:r>
    </w:p>
    <w:p w14:paraId="241A934E">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3.自然资源海洋气象等支出（类）自然资源事务（款）行政运行（项）:支出决算数为305.42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305.42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w:t>
      </w:r>
      <w:r>
        <w:rPr>
          <w:rFonts w:hint="eastAsia" w:eastAsia="仿宋_GB2312" w:cs="Times New Roman"/>
          <w:color w:val="auto"/>
          <w:kern w:val="2"/>
          <w:sz w:val="32"/>
          <w:szCs w:val="32"/>
          <w:highlight w:val="none"/>
          <w:lang w:val="en-US" w:eastAsia="zh-CN" w:bidi="ar-SA"/>
        </w:rPr>
        <w:t>.00</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ascii="仿宋_GB2312" w:eastAsia="仿宋_GB2312"/>
          <w:color w:val="auto"/>
          <w:spacing w:val="0"/>
          <w:sz w:val="32"/>
          <w:szCs w:val="32"/>
          <w:highlight w:val="none"/>
          <w:lang w:eastAsia="zh-CN"/>
        </w:rPr>
        <w:t>中心于</w:t>
      </w:r>
      <w:r>
        <w:rPr>
          <w:rFonts w:hint="eastAsia" w:ascii="仿宋_GB2312" w:eastAsia="仿宋_GB2312"/>
          <w:color w:val="auto"/>
          <w:spacing w:val="0"/>
          <w:sz w:val="32"/>
          <w:szCs w:val="32"/>
          <w:highlight w:val="none"/>
          <w:lang w:val="en-US" w:eastAsia="zh-CN"/>
        </w:rPr>
        <w:t>2023年开始</w:t>
      </w:r>
      <w:r>
        <w:rPr>
          <w:rFonts w:hint="eastAsia" w:ascii="仿宋_GB2312" w:eastAsia="仿宋_GB2312"/>
          <w:color w:val="auto"/>
          <w:spacing w:val="0"/>
          <w:sz w:val="32"/>
          <w:szCs w:val="32"/>
          <w:highlight w:val="none"/>
          <w:lang w:eastAsia="zh-CN"/>
        </w:rPr>
        <w:t>财务独立，往年未单独申请经费</w:t>
      </w:r>
      <w:r>
        <w:rPr>
          <w:rFonts w:hint="eastAsia" w:eastAsia="仿宋_GB2312" w:cs="Times New Roman"/>
          <w:color w:val="auto"/>
          <w:kern w:val="2"/>
          <w:sz w:val="32"/>
          <w:szCs w:val="32"/>
          <w:highlight w:val="none"/>
          <w:lang w:val="zh-CN" w:eastAsia="zh-CN" w:bidi="ar-SA"/>
        </w:rPr>
        <w:t>。</w:t>
      </w:r>
    </w:p>
    <w:p w14:paraId="1D70A3B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4.住房保障支出（类）住房改革支出（款）住房公积金（项）:支出决算数为18.05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18.05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w:t>
      </w:r>
      <w:r>
        <w:rPr>
          <w:rFonts w:hint="eastAsia" w:eastAsia="仿宋_GB2312" w:cs="Times New Roman"/>
          <w:color w:val="auto"/>
          <w:kern w:val="2"/>
          <w:sz w:val="32"/>
          <w:szCs w:val="32"/>
          <w:highlight w:val="none"/>
          <w:lang w:val="en-US" w:eastAsia="zh-CN" w:bidi="ar-SA"/>
        </w:rPr>
        <w:t>.00</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ascii="仿宋_GB2312" w:eastAsia="仿宋_GB2312"/>
          <w:color w:val="auto"/>
          <w:spacing w:val="0"/>
          <w:sz w:val="32"/>
          <w:szCs w:val="32"/>
          <w:highlight w:val="none"/>
          <w:lang w:eastAsia="zh-CN"/>
        </w:rPr>
        <w:t>中心于</w:t>
      </w:r>
      <w:r>
        <w:rPr>
          <w:rFonts w:hint="eastAsia" w:ascii="仿宋_GB2312" w:eastAsia="仿宋_GB2312"/>
          <w:color w:val="auto"/>
          <w:spacing w:val="0"/>
          <w:sz w:val="32"/>
          <w:szCs w:val="32"/>
          <w:highlight w:val="none"/>
          <w:lang w:val="en-US" w:eastAsia="zh-CN"/>
        </w:rPr>
        <w:t>2023年开始</w:t>
      </w:r>
      <w:r>
        <w:rPr>
          <w:rFonts w:hint="eastAsia" w:ascii="仿宋_GB2312" w:eastAsia="仿宋_GB2312"/>
          <w:color w:val="auto"/>
          <w:spacing w:val="0"/>
          <w:sz w:val="32"/>
          <w:szCs w:val="32"/>
          <w:highlight w:val="none"/>
          <w:lang w:eastAsia="zh-CN"/>
        </w:rPr>
        <w:t>财务独立，往年未单独申请经费</w:t>
      </w:r>
      <w:r>
        <w:rPr>
          <w:rFonts w:hint="eastAsia" w:eastAsia="仿宋_GB2312" w:cs="Times New Roman"/>
          <w:color w:val="auto"/>
          <w:kern w:val="2"/>
          <w:sz w:val="32"/>
          <w:szCs w:val="32"/>
          <w:highlight w:val="none"/>
          <w:lang w:val="zh-CN" w:eastAsia="zh-CN" w:bidi="ar-SA"/>
        </w:rPr>
        <w:t>。</w:t>
      </w:r>
    </w:p>
    <w:p w14:paraId="3120409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5.社会保障和就业支出（类）行政事业单位养老支出（款）行政单位离退休（项）:支出决算数为6.69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6.69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w:t>
      </w:r>
      <w:r>
        <w:rPr>
          <w:rFonts w:hint="eastAsia" w:eastAsia="仿宋_GB2312" w:cs="Times New Roman"/>
          <w:color w:val="auto"/>
          <w:kern w:val="2"/>
          <w:sz w:val="32"/>
          <w:szCs w:val="32"/>
          <w:highlight w:val="none"/>
          <w:lang w:val="en-US" w:eastAsia="zh-CN" w:bidi="ar-SA"/>
        </w:rPr>
        <w:t>.00</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ascii="仿宋_GB2312" w:eastAsia="仿宋_GB2312"/>
          <w:color w:val="auto"/>
          <w:spacing w:val="0"/>
          <w:sz w:val="32"/>
          <w:szCs w:val="32"/>
          <w:highlight w:val="none"/>
          <w:lang w:eastAsia="zh-CN"/>
        </w:rPr>
        <w:t>中心于</w:t>
      </w:r>
      <w:r>
        <w:rPr>
          <w:rFonts w:hint="eastAsia" w:ascii="仿宋_GB2312" w:eastAsia="仿宋_GB2312"/>
          <w:color w:val="auto"/>
          <w:spacing w:val="0"/>
          <w:sz w:val="32"/>
          <w:szCs w:val="32"/>
          <w:highlight w:val="none"/>
          <w:lang w:val="en-US" w:eastAsia="zh-CN"/>
        </w:rPr>
        <w:t>2023年开始</w:t>
      </w:r>
      <w:r>
        <w:rPr>
          <w:rFonts w:hint="eastAsia" w:ascii="仿宋_GB2312" w:eastAsia="仿宋_GB2312"/>
          <w:color w:val="auto"/>
          <w:spacing w:val="0"/>
          <w:sz w:val="32"/>
          <w:szCs w:val="32"/>
          <w:highlight w:val="none"/>
          <w:lang w:eastAsia="zh-CN"/>
        </w:rPr>
        <w:t>财务独立，往年未单独申请经费</w:t>
      </w:r>
      <w:r>
        <w:rPr>
          <w:rFonts w:hint="eastAsia" w:eastAsia="仿宋_GB2312" w:cs="Times New Roman"/>
          <w:color w:val="auto"/>
          <w:kern w:val="2"/>
          <w:sz w:val="32"/>
          <w:szCs w:val="32"/>
          <w:highlight w:val="none"/>
          <w:lang w:val="zh-CN" w:eastAsia="zh-CN" w:bidi="ar-SA"/>
        </w:rPr>
        <w:t>。</w:t>
      </w:r>
    </w:p>
    <w:p w14:paraId="4DDD6CA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6.社会保障和就业支出（类）行政事业单位养老支出（款）机关事业单位职业年金缴费支出（项）:支出决算数为14.49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14.49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w:t>
      </w:r>
      <w:r>
        <w:rPr>
          <w:rFonts w:hint="eastAsia" w:eastAsia="仿宋_GB2312" w:cs="Times New Roman"/>
          <w:color w:val="auto"/>
          <w:kern w:val="2"/>
          <w:sz w:val="32"/>
          <w:szCs w:val="32"/>
          <w:highlight w:val="none"/>
          <w:lang w:val="en-US" w:eastAsia="zh-CN" w:bidi="ar-SA"/>
        </w:rPr>
        <w:t>.00</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ascii="仿宋_GB2312" w:eastAsia="仿宋_GB2312"/>
          <w:color w:val="auto"/>
          <w:spacing w:val="0"/>
          <w:sz w:val="32"/>
          <w:szCs w:val="32"/>
          <w:highlight w:val="none"/>
          <w:lang w:eastAsia="zh-CN"/>
        </w:rPr>
        <w:t>中心于</w:t>
      </w:r>
      <w:r>
        <w:rPr>
          <w:rFonts w:hint="eastAsia" w:ascii="仿宋_GB2312" w:eastAsia="仿宋_GB2312"/>
          <w:color w:val="auto"/>
          <w:spacing w:val="0"/>
          <w:sz w:val="32"/>
          <w:szCs w:val="32"/>
          <w:highlight w:val="none"/>
          <w:lang w:val="en-US" w:eastAsia="zh-CN"/>
        </w:rPr>
        <w:t>2023年开始</w:t>
      </w:r>
      <w:r>
        <w:rPr>
          <w:rFonts w:hint="eastAsia" w:ascii="仿宋_GB2312" w:eastAsia="仿宋_GB2312"/>
          <w:color w:val="auto"/>
          <w:spacing w:val="0"/>
          <w:sz w:val="32"/>
          <w:szCs w:val="32"/>
          <w:highlight w:val="none"/>
          <w:lang w:eastAsia="zh-CN"/>
        </w:rPr>
        <w:t>财务独立，往年未单独申请经费</w:t>
      </w:r>
      <w:r>
        <w:rPr>
          <w:rFonts w:hint="eastAsia" w:eastAsia="仿宋_GB2312" w:cs="Times New Roman"/>
          <w:color w:val="auto"/>
          <w:kern w:val="2"/>
          <w:sz w:val="32"/>
          <w:szCs w:val="32"/>
          <w:highlight w:val="none"/>
          <w:lang w:val="zh-CN" w:eastAsia="zh-CN" w:bidi="ar-SA"/>
        </w:rPr>
        <w:t>。</w:t>
      </w:r>
    </w:p>
    <w:p w14:paraId="231FEB1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7.社会保障和就业支出（类）行政事业单位养老支出（款）机关事业单位基本养老保险缴费支出（项）:支出决算数为24.07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24.07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w:t>
      </w:r>
      <w:r>
        <w:rPr>
          <w:rFonts w:hint="eastAsia" w:eastAsia="仿宋_GB2312" w:cs="Times New Roman"/>
          <w:color w:val="auto"/>
          <w:kern w:val="2"/>
          <w:sz w:val="32"/>
          <w:szCs w:val="32"/>
          <w:highlight w:val="none"/>
          <w:lang w:val="en-US" w:eastAsia="zh-CN" w:bidi="ar-SA"/>
        </w:rPr>
        <w:t>.00</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ascii="仿宋_GB2312" w:eastAsia="仿宋_GB2312"/>
          <w:color w:val="auto"/>
          <w:spacing w:val="0"/>
          <w:sz w:val="32"/>
          <w:szCs w:val="32"/>
          <w:highlight w:val="none"/>
          <w:lang w:eastAsia="zh-CN"/>
        </w:rPr>
        <w:t>中心于</w:t>
      </w:r>
      <w:r>
        <w:rPr>
          <w:rFonts w:hint="eastAsia" w:ascii="仿宋_GB2312" w:eastAsia="仿宋_GB2312"/>
          <w:color w:val="auto"/>
          <w:spacing w:val="0"/>
          <w:sz w:val="32"/>
          <w:szCs w:val="32"/>
          <w:highlight w:val="none"/>
          <w:lang w:val="en-US" w:eastAsia="zh-CN"/>
        </w:rPr>
        <w:t>2023年开始</w:t>
      </w:r>
      <w:r>
        <w:rPr>
          <w:rFonts w:hint="eastAsia" w:ascii="仿宋_GB2312" w:eastAsia="仿宋_GB2312"/>
          <w:color w:val="auto"/>
          <w:spacing w:val="0"/>
          <w:sz w:val="32"/>
          <w:szCs w:val="32"/>
          <w:highlight w:val="none"/>
          <w:lang w:eastAsia="zh-CN"/>
        </w:rPr>
        <w:t>财务独立，往年未单独申请经费</w:t>
      </w:r>
      <w:r>
        <w:rPr>
          <w:rFonts w:hint="eastAsia" w:eastAsia="仿宋_GB2312" w:cs="Times New Roman"/>
          <w:color w:val="auto"/>
          <w:kern w:val="2"/>
          <w:sz w:val="32"/>
          <w:szCs w:val="32"/>
          <w:highlight w:val="none"/>
          <w:lang w:val="zh-CN" w:eastAsia="zh-CN" w:bidi="ar-SA"/>
        </w:rPr>
        <w:t>。</w:t>
      </w:r>
    </w:p>
    <w:p w14:paraId="4AAEE49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14:paraId="3C14E5B9">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391.75</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291.18</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基本工资、津贴补贴、奖金、机关事业单位基本养老保险缴费、职业年金缴费、职工基本医疗保险缴费、公务员医疗补助缴费、其他社会保障缴费、住房公积金、退休费、医疗费补助、其他对个人和家庭的补助。</w:t>
      </w:r>
    </w:p>
    <w:p w14:paraId="7DBB8E37">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red"/>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100.56</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办公费、印刷费、咨询费、手续费、邮电费、差旅费、维修（护）费、租赁费、培训费、劳务费、委托业务费、工会经费、福利费、公务用车运行维护费、其他交通费用、其他商品和服务支出、办公设备购置。</w:t>
      </w:r>
    </w:p>
    <w:p w14:paraId="3364551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14:paraId="26CF02AB">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“三公”经费支出2.70万元，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增加2.70万元，增长</w:t>
      </w:r>
      <w:r>
        <w:rPr>
          <w:rFonts w:hint="eastAsia" w:ascii="仿宋_GB2312" w:eastAsia="仿宋_GB2312"/>
          <w:color w:val="auto"/>
          <w:sz w:val="32"/>
          <w:szCs w:val="32"/>
          <w:highlight w:val="none"/>
          <w:lang w:val="en-US" w:eastAsia="zh-CN"/>
        </w:rPr>
        <w:t>100.00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pacing w:val="0"/>
          <w:sz w:val="32"/>
          <w:szCs w:val="32"/>
          <w:highlight w:val="none"/>
          <w:lang w:eastAsia="zh-CN"/>
        </w:rPr>
        <w:t>中心于</w:t>
      </w:r>
      <w:r>
        <w:rPr>
          <w:rFonts w:hint="eastAsia" w:ascii="仿宋_GB2312" w:eastAsia="仿宋_GB2312"/>
          <w:color w:val="auto"/>
          <w:spacing w:val="0"/>
          <w:sz w:val="32"/>
          <w:szCs w:val="32"/>
          <w:highlight w:val="none"/>
          <w:lang w:val="en-US" w:eastAsia="zh-CN"/>
        </w:rPr>
        <w:t>2023年开始</w:t>
      </w:r>
      <w:r>
        <w:rPr>
          <w:rFonts w:hint="eastAsia" w:ascii="仿宋_GB2312" w:eastAsia="仿宋_GB2312"/>
          <w:color w:val="auto"/>
          <w:spacing w:val="0"/>
          <w:sz w:val="32"/>
          <w:szCs w:val="32"/>
          <w:highlight w:val="none"/>
          <w:lang w:eastAsia="zh-CN"/>
        </w:rPr>
        <w:t>财务独立，往年未单独申请经费</w:t>
      </w:r>
      <w:r>
        <w:rPr>
          <w:rFonts w:hint="eastAsia" w:ascii="仿宋_GB2312" w:eastAsia="仿宋_GB2312"/>
          <w:color w:val="auto"/>
          <w:sz w:val="32"/>
          <w:szCs w:val="32"/>
          <w:highlight w:val="none"/>
          <w:lang w:val="zh-CN" w:eastAsia="zh-CN"/>
        </w:rPr>
        <w:t>。其中：因公出国（境）费支出0.00万元，占0.00%，比上年增加0.00万元，增长0.00%，主要原因是：无因公出国（境）；公务用车购置及运行维护费支出2.70万元，占100.00%，比上年增加2.70万元，增长</w:t>
      </w:r>
      <w:r>
        <w:rPr>
          <w:rFonts w:hint="eastAsia" w:ascii="仿宋_GB2312" w:eastAsia="仿宋_GB2312"/>
          <w:color w:val="auto"/>
          <w:sz w:val="32"/>
          <w:szCs w:val="32"/>
          <w:highlight w:val="none"/>
          <w:lang w:val="en-US" w:eastAsia="zh-CN"/>
        </w:rPr>
        <w:t>100.00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pacing w:val="0"/>
          <w:sz w:val="32"/>
          <w:szCs w:val="32"/>
          <w:highlight w:val="none"/>
          <w:lang w:eastAsia="zh-CN"/>
        </w:rPr>
        <w:t>中心于</w:t>
      </w:r>
      <w:r>
        <w:rPr>
          <w:rFonts w:hint="eastAsia" w:ascii="仿宋_GB2312" w:eastAsia="仿宋_GB2312"/>
          <w:color w:val="auto"/>
          <w:spacing w:val="0"/>
          <w:sz w:val="32"/>
          <w:szCs w:val="32"/>
          <w:highlight w:val="none"/>
          <w:lang w:val="en-US" w:eastAsia="zh-CN"/>
        </w:rPr>
        <w:t>2023年开始</w:t>
      </w:r>
      <w:r>
        <w:rPr>
          <w:rFonts w:hint="eastAsia" w:ascii="仿宋_GB2312" w:eastAsia="仿宋_GB2312"/>
          <w:color w:val="auto"/>
          <w:spacing w:val="0"/>
          <w:sz w:val="32"/>
          <w:szCs w:val="32"/>
          <w:highlight w:val="none"/>
          <w:lang w:eastAsia="zh-CN"/>
        </w:rPr>
        <w:t>财务独立，往年未单独申请经费</w:t>
      </w:r>
      <w:r>
        <w:rPr>
          <w:rFonts w:hint="eastAsia" w:ascii="仿宋_GB2312" w:eastAsia="仿宋_GB2312"/>
          <w:color w:val="auto"/>
          <w:sz w:val="32"/>
          <w:szCs w:val="32"/>
          <w:highlight w:val="none"/>
          <w:lang w:val="zh-CN" w:eastAsia="zh-CN"/>
        </w:rPr>
        <w:t>；公务接待费支出0.00万元，占0.00%，比上年增加0.00万元，增长0.00%，主要原因是：无公务接待。</w:t>
      </w:r>
    </w:p>
    <w:p w14:paraId="50E69355">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14:paraId="696674D6">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因公出国（境）费支出0.00万元，开支内容包括无此项支出。单位全年安排的因公出国（境）团组0个，因公出国（境）0人次。</w:t>
      </w:r>
    </w:p>
    <w:p w14:paraId="19259456">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2.70万元，其中：公务用车购置费0.00万元，公务用车运行维护费2.70万元。公务用车运行维护费开支内容包括公车维修费、车辆交强险、车辆年度保险。公务用车购置数0辆，公务用车保有量1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1辆，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保有量差异原因是：无差异</w:t>
      </w:r>
      <w:r>
        <w:rPr>
          <w:rFonts w:hint="eastAsia" w:ascii="仿宋_GB2312" w:eastAsia="仿宋_GB2312"/>
          <w:color w:val="auto"/>
          <w:sz w:val="32"/>
          <w:szCs w:val="32"/>
          <w:highlight w:val="none"/>
          <w:lang w:val="zh-CN" w:eastAsia="zh-CN"/>
        </w:rPr>
        <w:t>。</w:t>
      </w:r>
    </w:p>
    <w:p w14:paraId="737346B3">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公务接待费0.00万元，开支内容包括无此项支出。单位全年安排的国内公务接待0批次，0人次。</w:t>
      </w:r>
    </w:p>
    <w:p w14:paraId="6ECBD34F">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预算数2.70万元，决算数2.70万元，预决算差异率</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严格按照预算数开展业务执行</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0.00万元，决算数0.00万元，预决算差异率0.00%，主要原因是：无因公出国费；公务用车购置费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预算数0.00万元，决算数0.00万元，预决算差异率0.00%，主要原因是：无公务用车购置费；公务用车运行费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预算数2.70万元，决算数2.70万元，预决算差异率</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严格按照</w:t>
      </w:r>
      <w:bookmarkStart w:id="48" w:name="_GoBack"/>
      <w:bookmarkEnd w:id="48"/>
      <w:r>
        <w:rPr>
          <w:rFonts w:hint="eastAsia" w:ascii="仿宋_GB2312" w:eastAsia="仿宋_GB2312"/>
          <w:color w:val="auto"/>
          <w:sz w:val="32"/>
          <w:szCs w:val="32"/>
          <w:highlight w:val="none"/>
          <w:lang w:val="en-US" w:eastAsia="zh-CN"/>
        </w:rPr>
        <w:t>预算数开展业务执行</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预算数0.00万元，决算数0.00万元，预决算差异率0.00%，主要原因是：无公务接待费。</w:t>
      </w:r>
    </w:p>
    <w:p w14:paraId="2A8D661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仿宋_GB2312" w:eastAsia="仿宋_GB2312"/>
          <w:color w:val="auto"/>
          <w:sz w:val="32"/>
          <w:szCs w:val="32"/>
          <w:highlight w:val="none"/>
          <w:lang w:eastAsia="zh-CN"/>
        </w:rPr>
      </w:pPr>
      <w:bookmarkStart w:id="18" w:name="_Toc7927"/>
      <w:bookmarkStart w:id="19" w:name="_Toc5810"/>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14:paraId="4EACB06E">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14:paraId="58D5A7D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14:paraId="2466CB56">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14:paraId="6FA987F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7314"/>
      <w:bookmarkStart w:id="21" w:name="_Toc12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14:paraId="721C039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4519"/>
      <w:bookmarkStart w:id="23"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14:paraId="60E1DE87">
      <w:pPr>
        <w:ind w:firstLine="640" w:firstLineChars="200"/>
        <w:rPr>
          <w:rFonts w:hint="eastAsia" w:ascii="Times New Roman" w:hAnsi="Times New Roman" w:eastAsia="仿宋_GB2312" w:cs="Times New Roman"/>
          <w:color w:val="auto"/>
          <w:sz w:val="32"/>
          <w:szCs w:val="32"/>
          <w:highlight w:val="none"/>
          <w:lang w:val="zh-CN" w:eastAsia="zh-CN"/>
        </w:rPr>
      </w:pPr>
      <w:bookmarkStart w:id="24" w:name="_Toc227"/>
      <w:bookmarkStart w:id="25" w:name="_Toc26704"/>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新疆维吾尔自治区自然资源法律事务中心（行政单位和参照公务员法管理事业单位）机关运行经费支出100.56万元，比上年增加100.56万元，增长</w:t>
      </w:r>
      <w:r>
        <w:rPr>
          <w:rFonts w:hint="eastAsia" w:eastAsia="仿宋_GB2312" w:cs="Times New Roman"/>
          <w:color w:val="auto"/>
          <w:sz w:val="32"/>
          <w:szCs w:val="32"/>
          <w:highlight w:val="none"/>
          <w:lang w:val="en-US" w:eastAsia="zh-CN"/>
        </w:rPr>
        <w:t>10</w:t>
      </w:r>
      <w:r>
        <w:rPr>
          <w:rFonts w:hint="eastAsia" w:ascii="Times New Roman" w:hAnsi="Times New Roman" w:eastAsia="仿宋_GB2312" w:cs="Times New Roman"/>
          <w:color w:val="auto"/>
          <w:sz w:val="32"/>
          <w:szCs w:val="32"/>
          <w:highlight w:val="none"/>
          <w:lang w:val="en-US" w:eastAsia="zh-CN"/>
        </w:rPr>
        <w:t>0.00%,主要原因是：</w:t>
      </w:r>
      <w:r>
        <w:rPr>
          <w:rFonts w:hint="eastAsia" w:ascii="仿宋_GB2312" w:eastAsia="仿宋_GB2312"/>
          <w:color w:val="auto"/>
          <w:spacing w:val="0"/>
          <w:sz w:val="32"/>
          <w:szCs w:val="32"/>
          <w:highlight w:val="none"/>
          <w:lang w:eastAsia="zh-CN"/>
        </w:rPr>
        <w:t>中心于</w:t>
      </w:r>
      <w:r>
        <w:rPr>
          <w:rFonts w:hint="eastAsia" w:ascii="仿宋_GB2312" w:eastAsia="仿宋_GB2312"/>
          <w:color w:val="auto"/>
          <w:spacing w:val="0"/>
          <w:sz w:val="32"/>
          <w:szCs w:val="32"/>
          <w:highlight w:val="none"/>
          <w:lang w:val="en-US" w:eastAsia="zh-CN"/>
        </w:rPr>
        <w:t>2023年开始</w:t>
      </w:r>
      <w:r>
        <w:rPr>
          <w:rFonts w:hint="eastAsia" w:ascii="仿宋_GB2312" w:eastAsia="仿宋_GB2312"/>
          <w:color w:val="auto"/>
          <w:spacing w:val="0"/>
          <w:sz w:val="32"/>
          <w:szCs w:val="32"/>
          <w:highlight w:val="none"/>
          <w:lang w:eastAsia="zh-CN"/>
        </w:rPr>
        <w:t>财务独立，往年未单独申请经费</w:t>
      </w:r>
      <w:r>
        <w:rPr>
          <w:rFonts w:hint="eastAsia" w:ascii="Times New Roman" w:hAnsi="Times New Roman" w:eastAsia="仿宋_GB2312" w:cs="Times New Roman"/>
          <w:color w:val="auto"/>
          <w:sz w:val="32"/>
          <w:szCs w:val="32"/>
          <w:highlight w:val="none"/>
          <w:lang w:val="en-US" w:eastAsia="zh-CN"/>
        </w:rPr>
        <w:t>。</w:t>
      </w:r>
    </w:p>
    <w:p w14:paraId="550B3AF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14:paraId="625C87D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17.03万元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其中：政府采购货物支出4.33万元、政府采购工程支出0.00万元、政府采购服务支出12.70万元。</w:t>
      </w:r>
    </w:p>
    <w:p w14:paraId="3E86BF3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授予中小企业合同金额17.03万元，占政府采购支出总额的100.00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，其中：授予小微企业合同金额4.33万元，占政府采购支出总额的25.43</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14:paraId="26946EF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8391"/>
      <w:bookmarkStart w:id="27" w:name="_Toc45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14:paraId="7A219D9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57.32</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屋0.0平方米，价值0.00万元。车辆1辆，价值39.59万元，其中：副部（省）级及以上领导用车0辆、主要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用车0辆、机要通信用车0辆、应急保障用车0辆、执法执勤用车0辆、特种专业技术用车0辆、离退休干部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用车0辆、其他用车1辆，其他用车主要是：</w:t>
      </w:r>
      <w:r>
        <w:rPr>
          <w:rFonts w:hint="eastAsia" w:eastAsia="仿宋_GB2312" w:cs="Times New Roman"/>
          <w:color w:val="auto"/>
          <w:sz w:val="32"/>
          <w:szCs w:val="32"/>
          <w:highlight w:val="none"/>
          <w:lang w:val="zh-CN" w:eastAsia="zh-CN"/>
        </w:rPr>
        <w:t>用于主管单位班车使用</w:t>
      </w:r>
      <w:r>
        <w:rPr>
          <w:rFonts w:hint="eastAsia" w:ascii="Times New Roman" w:hAnsi="Times New Roman" w:eastAsia="仿宋_GB2312" w:cs="Times New Roman"/>
          <w:color w:val="auto"/>
          <w:sz w:val="32"/>
          <w:szCs w:val="32"/>
          <w:highlight w:val="none"/>
          <w:lang w:val="zh-CN" w:eastAsia="zh-CN"/>
        </w:rPr>
        <w:t>；单价100万元（含）以上设备（不含车辆）0</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14:paraId="580F7E0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11283"/>
      <w:bookmarkStart w:id="29" w:name="_Toc4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14:paraId="14A218C0">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实际执行总额0.00</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全年预算数100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全年执行数99.99</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预算绩效管理取得的成效：一是不断完善各项预算管理制度，根据新形势和新要求，结合不断出台的各项制度，制定相应的预算管理制度。强化预算管理，事前必编预算，控制经费使用，使用必问绩效，将绩效管理贯穿于预算编制、执行及决算等环节；二是加强宣传，加强对各项制度的执行力度，杜绝有令不行、有禁不止的情况发生。发现的问题及原因：一是绩效指标设置不够细化。建议加强绩效管理业务培训、学习，深入领会中央、省、州、市全面实施预算绩效管理的精神，树立“花钱必问效、无效必问责”甚至是低效也要问责的意识，实行重大项目终身责任制；二是未实施绩效监控。建议在项目实施过程中，根据项目实际完成情况每季度填报项目绩效运行监控表，对项目实施过程进行全程监控，以防出现执行错误，对已经出现的偏差，及时进行纠正。下一步改进措施：一是绩效管理方面，绩效目标设置是预算批复和预算安排的前置条件，是实施 绩效监控、开展绩效评价等工作的重要基础和依据，统领预算绩效管理。建议预算单位严格按照自治区印发的相关通知要求，切实提升绩效目标和指标的编制水平，强化目标对项目实施的约束力；二是资金管理方面，建议预算单位要树立起预算执行主体责任意识和效率意识，强化预算执行管理，根据项目实施计划，严格把控项目资金支出进度，对项目实施过程中遇到影响项目完成进度或资金支付进度的问题，在自身不能采取有效措施进行解决的情况下应尽快向财政部门反馈，使财政部门能够对涉及的资金进行适当调整，充分提高财政资金使用效益。具体</w:t>
      </w:r>
      <w:r>
        <w:rPr>
          <w:rFonts w:hint="eastAsia" w:ascii="仿宋_GB2312" w:eastAsia="仿宋_GB2312"/>
          <w:color w:val="auto"/>
          <w:sz w:val="32"/>
          <w:szCs w:val="32"/>
          <w:highlight w:val="none"/>
        </w:rPr>
        <w:t>项目自评情况附绩效自评表</w:t>
      </w:r>
      <w:r>
        <w:rPr>
          <w:rFonts w:hint="eastAsia" w:ascii="仿宋_GB2312" w:eastAsia="仿宋_GB2312"/>
          <w:color w:val="auto"/>
          <w:sz w:val="32"/>
          <w:szCs w:val="32"/>
          <w:highlight w:val="none"/>
          <w:lang w:val="en-US" w:eastAsia="zh-CN"/>
        </w:rPr>
        <w:t>及自评报告</w:t>
      </w:r>
      <w:r>
        <w:rPr>
          <w:rFonts w:hint="eastAsia" w:ascii="仿宋_GB2312" w:eastAsia="仿宋_GB2312"/>
          <w:color w:val="auto"/>
          <w:sz w:val="32"/>
          <w:szCs w:val="32"/>
          <w:highlight w:val="none"/>
        </w:rPr>
        <w:t>。</w:t>
      </w:r>
    </w:p>
    <w:p w14:paraId="554017F6">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14:paraId="39EE6886">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本单位无其他需说明事项。</w:t>
      </w:r>
    </w:p>
    <w:p w14:paraId="2844BC7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24143"/>
      <w:bookmarkStart w:id="31" w:name="_Toc3250"/>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14:paraId="4A8652DD">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14:paraId="40B05B80">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14:paraId="2E70100E">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14:paraId="0A85CB6A">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14:paraId="52C2F497">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14:paraId="5CBD40AA">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14:paraId="403999B6">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14:paraId="219C0CD8">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34EE59D">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14:paraId="21D384A5">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14:paraId="75AF5CF2">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14:paraId="74316A95">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14:paraId="4CAE1B58">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14:paraId="3DED390F">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14:paraId="2ABB9D6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14:paraId="14883A4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6062"/>
      <w:bookmarkStart w:id="33" w:name="_Toc2183"/>
      <w:r>
        <w:rPr>
          <w:rFonts w:hint="eastAsia" w:ascii="黑体" w:hAnsi="黑体" w:eastAsia="仿宋_GB2312" w:cs="宋体"/>
          <w:bCs/>
          <w:color w:val="auto"/>
          <w:kern w:val="0"/>
          <w:sz w:val="32"/>
          <w:szCs w:val="32"/>
          <w:highlight w:val="none"/>
        </w:rPr>
        <w:t>一、《收入支出决算总表》</w:t>
      </w:r>
      <w:bookmarkEnd w:id="32"/>
      <w:bookmarkEnd w:id="33"/>
    </w:p>
    <w:p w14:paraId="1F16707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24532"/>
      <w:bookmarkStart w:id="35" w:name="_Toc30364"/>
      <w:r>
        <w:rPr>
          <w:rFonts w:hint="eastAsia" w:ascii="黑体" w:hAnsi="黑体" w:eastAsia="仿宋_GB2312" w:cs="宋体"/>
          <w:bCs/>
          <w:color w:val="auto"/>
          <w:kern w:val="0"/>
          <w:sz w:val="32"/>
          <w:szCs w:val="32"/>
          <w:highlight w:val="none"/>
        </w:rPr>
        <w:t>二、《收入决算表》</w:t>
      </w:r>
      <w:bookmarkEnd w:id="34"/>
      <w:bookmarkEnd w:id="35"/>
    </w:p>
    <w:p w14:paraId="45038B4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21304"/>
      <w:bookmarkStart w:id="37" w:name="_Toc32434"/>
      <w:r>
        <w:rPr>
          <w:rFonts w:hint="eastAsia" w:ascii="黑体" w:hAnsi="黑体" w:eastAsia="仿宋_GB2312" w:cs="宋体"/>
          <w:bCs/>
          <w:color w:val="auto"/>
          <w:kern w:val="0"/>
          <w:sz w:val="32"/>
          <w:szCs w:val="32"/>
          <w:highlight w:val="none"/>
        </w:rPr>
        <w:t>三、《支出决算表》</w:t>
      </w:r>
      <w:bookmarkEnd w:id="36"/>
      <w:bookmarkEnd w:id="37"/>
    </w:p>
    <w:p w14:paraId="5892937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14:paraId="63B1B82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14:paraId="15B5600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14:paraId="54FB764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32663"/>
      <w:bookmarkStart w:id="45" w:name="_Toc29106"/>
      <w:r>
        <w:rPr>
          <w:rFonts w:hint="eastAsia" w:ascii="黑体" w:hAnsi="黑体" w:eastAsia="仿宋_GB2312" w:cs="宋体"/>
          <w:bCs/>
          <w:color w:val="auto"/>
          <w:kern w:val="0"/>
          <w:sz w:val="32"/>
          <w:szCs w:val="32"/>
          <w:highlight w:val="none"/>
        </w:rPr>
        <w:t>《财政拨款“三公”经费支出决算表》</w:t>
      </w:r>
      <w:bookmarkEnd w:id="44"/>
      <w:bookmarkEnd w:id="45"/>
    </w:p>
    <w:p w14:paraId="27A797E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5453"/>
      <w:bookmarkStart w:id="47" w:name="_Toc764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14:paraId="34F3136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14:paraId="28E6866F">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14:paraId="432175D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A28877">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3B345A5">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53B345A5">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3ZDYwNjg1ZjU0OWUzODg2NDlmOWVjNTUxNzAxMzIifQ=="/>
    <w:docVar w:name="KSO_WPS_MARK_KEY" w:val="41ee2a61-2d54-4f93-83be-afdb9a40d732"/>
  </w:docVars>
  <w:rsids>
    <w:rsidRoot w:val="00000000"/>
    <w:rsid w:val="00213C59"/>
    <w:rsid w:val="003210CE"/>
    <w:rsid w:val="00B70D59"/>
    <w:rsid w:val="00F52A8D"/>
    <w:rsid w:val="019404F8"/>
    <w:rsid w:val="02BD3108"/>
    <w:rsid w:val="02F73D26"/>
    <w:rsid w:val="034D4FEF"/>
    <w:rsid w:val="035D1785"/>
    <w:rsid w:val="039F47CE"/>
    <w:rsid w:val="03E05CE8"/>
    <w:rsid w:val="03F973EE"/>
    <w:rsid w:val="043E5B56"/>
    <w:rsid w:val="04C04386"/>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4D6AFA"/>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D50C50"/>
    <w:rsid w:val="16E120E1"/>
    <w:rsid w:val="17385A05"/>
    <w:rsid w:val="173B3901"/>
    <w:rsid w:val="176747F9"/>
    <w:rsid w:val="17954A6E"/>
    <w:rsid w:val="180059E9"/>
    <w:rsid w:val="184510FD"/>
    <w:rsid w:val="190648B0"/>
    <w:rsid w:val="19071D6C"/>
    <w:rsid w:val="19D26CD4"/>
    <w:rsid w:val="19E60D19"/>
    <w:rsid w:val="1A11352D"/>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2C81BA9"/>
    <w:rsid w:val="434E6957"/>
    <w:rsid w:val="43BA0E31"/>
    <w:rsid w:val="43C15147"/>
    <w:rsid w:val="43E14DD2"/>
    <w:rsid w:val="43F800E9"/>
    <w:rsid w:val="443A7E4B"/>
    <w:rsid w:val="44E70189"/>
    <w:rsid w:val="452F5B3A"/>
    <w:rsid w:val="454E7FD2"/>
    <w:rsid w:val="46061BDC"/>
    <w:rsid w:val="461404F8"/>
    <w:rsid w:val="46413018"/>
    <w:rsid w:val="464B7E04"/>
    <w:rsid w:val="468041AA"/>
    <w:rsid w:val="468123C6"/>
    <w:rsid w:val="46901EEE"/>
    <w:rsid w:val="469C74D2"/>
    <w:rsid w:val="47445515"/>
    <w:rsid w:val="474B4782"/>
    <w:rsid w:val="47D90D14"/>
    <w:rsid w:val="48301589"/>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9C5AE6"/>
    <w:rsid w:val="53D03877"/>
    <w:rsid w:val="542F73CA"/>
    <w:rsid w:val="5430786D"/>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085F47"/>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 w:type="paragraph" w:customStyle="1" w:styleId="15">
    <w:name w:val="闻政-正文段落文字"/>
    <w:basedOn w:val="1"/>
    <w:qFormat/>
    <w:uiPriority w:val="3"/>
    <w:pPr>
      <w:spacing w:line="500" w:lineRule="exact"/>
      <w:ind w:firstLine="200"/>
    </w:pPr>
    <w:rPr>
      <w:rFonts w:cs="Times New Roman"/>
      <w:kern w:val="0"/>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5530</Words>
  <Characters>6192</Characters>
  <Lines>0</Lines>
  <Paragraphs>0</Paragraphs>
  <TotalTime>2</TotalTime>
  <ScaleCrop>false</ScaleCrop>
  <LinksUpToDate>false</LinksUpToDate>
  <CharactersWithSpaces>6204</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2025-08-15T04:40:13Z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D624B15633CD43C8BF9435464A96BF70</vt:lpwstr>
  </property>
  <property fmtid="{D5CDD505-2E9C-101B-9397-08002B2CF9AE}" pid="4" name="KSOTemplateDocerSaveRecord">
    <vt:lpwstr>eyJoZGlkIjoiOGI4YzQyYzViNTJiMTBjODFiNWQ3OGVlYjhmNzkxY2EifQ==</vt:lpwstr>
  </property>
</Properties>
</file>