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9242D">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4095E2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432BC9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塔城地区国土资源执法监察支队</w:t>
      </w:r>
    </w:p>
    <w:p w14:paraId="2265380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29DCABA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A81F01C">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DB13D9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900C0E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645CB73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BB63F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734BABE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F4D1B7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0B0B7F4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5FECD7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21C035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3E2F5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7E7F31F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BD68EC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4AE03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4F3657E">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668B3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25979C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414B7A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31A21FC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26C929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7BAFEE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2E1D2F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4E799A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5D2C5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7ACE77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25B3F8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34B8BE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6DDB6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7C508D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0F350A5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8FA7F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4CD29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0779ACC">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A900E1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68DBE5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14:paraId="62CC53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79C94FC4">
      <w:pPr>
        <w:rPr>
          <w:rFonts w:hint="eastAsia" w:ascii="仿宋_GB2312" w:eastAsia="仿宋_GB2312"/>
          <w:sz w:val="32"/>
          <w:szCs w:val="32"/>
          <w:lang w:eastAsia="zh-CN"/>
        </w:rPr>
      </w:pPr>
      <w:bookmarkStart w:id="4" w:name="_Toc31238"/>
      <w:bookmarkStart w:id="5" w:name="_Toc2151"/>
      <w:r>
        <w:rPr>
          <w:rFonts w:ascii="仿宋_GB2312" w:eastAsia="仿宋_GB2312"/>
          <w:sz w:val="32"/>
          <w:szCs w:val="32"/>
        </w:rPr>
        <w:t>塔城地区国土资源执法监察支队，为自治区自然资源厅下属副县级单位，参照公务员法管理的事业单位。实行垂直管理，统一履行塔城地区国土资源执法监察职能。</w:t>
      </w:r>
    </w:p>
    <w:p w14:paraId="70ED9E25">
      <w:pPr>
        <w:rPr>
          <w:rFonts w:hint="eastAsia" w:ascii="仿宋_GB2312" w:eastAsia="仿宋_GB2312"/>
          <w:sz w:val="32"/>
          <w:szCs w:val="32"/>
          <w:lang w:eastAsia="zh-CN"/>
        </w:rPr>
      </w:pPr>
      <w:r>
        <w:rPr>
          <w:rFonts w:ascii="仿宋_GB2312" w:eastAsia="仿宋_GB2312"/>
          <w:sz w:val="32"/>
          <w:szCs w:val="32"/>
        </w:rPr>
        <w:t>　　1、宣传和贯彻执行国家、自治区有关土地、矿产资源的法律、法规、规章和政策。</w:t>
      </w:r>
    </w:p>
    <w:p w14:paraId="133E98E2">
      <w:pPr>
        <w:rPr>
          <w:rFonts w:hint="eastAsia" w:ascii="仿宋_GB2312" w:eastAsia="仿宋_GB2312"/>
          <w:sz w:val="32"/>
          <w:szCs w:val="32"/>
          <w:lang w:eastAsia="zh-CN"/>
        </w:rPr>
      </w:pPr>
      <w:r>
        <w:rPr>
          <w:rFonts w:ascii="仿宋_GB2312" w:eastAsia="仿宋_GB2312"/>
          <w:sz w:val="32"/>
          <w:szCs w:val="32"/>
        </w:rPr>
        <w:t>　　2、按照自治区国土资源执法监察工作程序和要求，组织和实施对本地州市执行土地、矿产资源法律法规、规章情况进行监督监察和动态巡查，及时发现和制止土地、矿产资源违法行为。</w:t>
      </w:r>
    </w:p>
    <w:p w14:paraId="5441FD18">
      <w:pPr>
        <w:rPr>
          <w:rFonts w:hint="eastAsia" w:ascii="仿宋_GB2312" w:eastAsia="仿宋_GB2312"/>
          <w:sz w:val="32"/>
          <w:szCs w:val="32"/>
          <w:lang w:eastAsia="zh-CN"/>
        </w:rPr>
      </w:pPr>
      <w:r>
        <w:rPr>
          <w:rFonts w:ascii="仿宋_GB2312" w:eastAsia="仿宋_GB2312"/>
          <w:sz w:val="32"/>
          <w:szCs w:val="32"/>
        </w:rPr>
        <w:t>　　3、依法组织和实施对市土地、矿产资源违法案件进行调查、取证和现场勘验，并提交土地，矿产资源违法案件调查报告和查处意见。发现重大土地、矿产资源违法案件线索，及时上报。</w:t>
      </w:r>
    </w:p>
    <w:p w14:paraId="22132EA7">
      <w:pPr>
        <w:rPr>
          <w:rFonts w:hint="eastAsia" w:ascii="仿宋_GB2312" w:eastAsia="仿宋_GB2312"/>
          <w:sz w:val="32"/>
          <w:szCs w:val="32"/>
          <w:lang w:eastAsia="zh-CN"/>
        </w:rPr>
      </w:pPr>
      <w:r>
        <w:rPr>
          <w:rFonts w:ascii="仿宋_GB2312" w:eastAsia="仿宋_GB2312"/>
          <w:sz w:val="32"/>
          <w:szCs w:val="32"/>
        </w:rPr>
        <w:t>　　4、负责对土地、矿产资源违法案件查处决定的督办。</w:t>
      </w:r>
    </w:p>
    <w:p w14:paraId="5EC01826">
      <w:pPr>
        <w:rPr>
          <w:rFonts w:ascii="黑体" w:hAnsi="黑体" w:eastAsia="黑体" w:cs="宋体"/>
          <w:bCs/>
          <w:kern w:val="0"/>
          <w:sz w:val="32"/>
          <w:szCs w:val="32"/>
        </w:rPr>
      </w:pPr>
      <w:r>
        <w:rPr>
          <w:rFonts w:ascii="仿宋_GB2312" w:eastAsia="仿宋_GB2312"/>
          <w:sz w:val="32"/>
          <w:szCs w:val="32"/>
        </w:rPr>
        <w:t>　　5、完成自治区国土资源厅和自治区国土资源执法监察总队交办的其他工作</w:t>
      </w:r>
      <w:r>
        <w:rPr>
          <w:rFonts w:hint="eastAsia" w:ascii="仿宋_GB2312" w:eastAsia="仿宋_GB2312"/>
          <w:sz w:val="32"/>
          <w:szCs w:val="32"/>
        </w:rPr>
        <w:t>。</w:t>
      </w:r>
    </w:p>
    <w:p w14:paraId="30ED43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64A650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塔城地区国土资源执法监察支队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17</w:t>
      </w:r>
      <w:r>
        <w:rPr>
          <w:rFonts w:hint="eastAsia" w:ascii="仿宋_GB2312" w:eastAsia="仿宋_GB2312"/>
          <w:color w:val="auto"/>
          <w:sz w:val="32"/>
          <w:szCs w:val="32"/>
          <w:highlight w:val="none"/>
        </w:rPr>
        <w:t>人。</w:t>
      </w:r>
    </w:p>
    <w:p w14:paraId="11B0A3F6">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lang w:val="en-US" w:eastAsia="zh-CN"/>
        </w:rPr>
        <w:t>情况一：有下属预算单位按以下内容说明：</w:t>
      </w:r>
    </w:p>
    <w:p w14:paraId="0B1028E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color w:val="auto"/>
          <w:sz w:val="32"/>
          <w:szCs w:val="32"/>
          <w:highlight w:val="none"/>
          <w:lang w:val="en-US" w:eastAsia="zh-CN"/>
        </w:rPr>
        <w:t>塔城地区国土资源执法监察支队</w:t>
      </w:r>
      <w:r>
        <w:rPr>
          <w:rFonts w:hint="eastAsia" w:ascii="仿宋_GB2312" w:eastAsia="仿宋_GB2312"/>
          <w:color w:val="auto"/>
          <w:sz w:val="32"/>
          <w:szCs w:val="32"/>
          <w:highlight w:val="none"/>
        </w:rPr>
        <w:t>部门决算包括：</w:t>
      </w:r>
      <w:r>
        <w:rPr>
          <w:rFonts w:hint="eastAsia" w:ascii="仿宋_GB2312" w:eastAsia="仿宋_GB2312"/>
          <w:color w:val="auto"/>
          <w:sz w:val="32"/>
          <w:szCs w:val="32"/>
          <w:highlight w:val="none"/>
          <w:lang w:val="en-US" w:eastAsia="zh-CN"/>
        </w:rPr>
        <w:t>塔城地区国土资源执法监察支队</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14:paraId="2560E91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塔城地区国土资源执法监察支队</w:t>
      </w:r>
      <w:r>
        <w:rPr>
          <w:rFonts w:hint="eastAsia" w:ascii="仿宋_GB2312" w:hAnsi="宋体" w:eastAsia="仿宋_GB2312" w:cs="宋体"/>
          <w:color w:val="auto"/>
          <w:kern w:val="0"/>
          <w:sz w:val="32"/>
          <w:szCs w:val="32"/>
          <w:highlight w:val="none"/>
        </w:rPr>
        <w:t>本级</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3</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kern w:val="0"/>
          <w:sz w:val="32"/>
          <w:szCs w:val="32"/>
        </w:rPr>
        <w:t>土地执法监察科、矿产执法监察科、办公室</w:t>
      </w:r>
      <w:r>
        <w:rPr>
          <w:rFonts w:hint="eastAsia" w:ascii="仿宋_GB2312" w:hAnsi="宋体" w:eastAsia="仿宋_GB2312" w:cs="宋体"/>
          <w:color w:val="auto"/>
          <w:kern w:val="0"/>
          <w:sz w:val="32"/>
          <w:szCs w:val="32"/>
          <w:highlight w:val="none"/>
        </w:rPr>
        <w:t>。</w:t>
      </w:r>
    </w:p>
    <w:p w14:paraId="54C1029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color w:val="auto"/>
          <w:sz w:val="32"/>
          <w:szCs w:val="32"/>
          <w:highlight w:val="none"/>
          <w:lang w:val="en-US" w:eastAsia="zh-CN"/>
        </w:rPr>
        <w:t>塔城地区国土资源执法监察支队</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14:paraId="78EE213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1.新疆维吾尔自治区塔城市国土资源执法监察大队</w:t>
      </w:r>
    </w:p>
    <w:p w14:paraId="182A713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2.新疆维吾尔自治区沙湾县国土资源执法监察大队</w:t>
      </w:r>
    </w:p>
    <w:p w14:paraId="5A1ABFE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bookmarkStart w:id="6" w:name="_Toc29374"/>
      <w:bookmarkStart w:id="7" w:name="_Toc3092"/>
      <w:r>
        <w:rPr>
          <w:rFonts w:hint="eastAsia" w:ascii="仿宋_GB2312" w:eastAsia="仿宋_GB2312"/>
          <w:color w:val="auto"/>
          <w:spacing w:val="0"/>
          <w:sz w:val="32"/>
          <w:szCs w:val="32"/>
          <w:highlight w:val="none"/>
          <w:lang w:val="en-US" w:eastAsia="zh-CN"/>
        </w:rPr>
        <w:t>3.新疆维吾尔自治区乌苏市国土资源执法监察大队</w:t>
      </w:r>
    </w:p>
    <w:p w14:paraId="6047DA1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4.新疆维吾尔自治区额敏县国土资源执法监察大队</w:t>
      </w:r>
    </w:p>
    <w:p w14:paraId="2920783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5.新疆维吾尔自治区托里县国土资源执法监察大队</w:t>
      </w:r>
    </w:p>
    <w:p w14:paraId="219C192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6.新疆维吾尔自治区裕民县国土资源执法监察大队</w:t>
      </w:r>
    </w:p>
    <w:p w14:paraId="1D06A72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7.新疆维吾尔自治区和布克赛尔县国土资源执法监察大队</w:t>
      </w:r>
    </w:p>
    <w:p w14:paraId="3494CAE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8.新疆维吾尔自治区和布克赛尔县国土资源执法监察大队</w:t>
      </w:r>
    </w:p>
    <w:p w14:paraId="7C7AEB5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9.新疆维吾尔自治区塔城地区国土资源执法监察支队（本级）</w:t>
      </w:r>
    </w:p>
    <w:p w14:paraId="4E13B0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4C391A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160A5C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1,309.92万元，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1,224.23万元，使用非财政拨款结余0.00万元，年初结转和结余85.68万元。</w:t>
      </w:r>
    </w:p>
    <w:p w14:paraId="5D7581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1,309.92万元，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1,284.31万元，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0.00万元，年末结转和结余25.61万元。</w:t>
      </w:r>
    </w:p>
    <w:p w14:paraId="0D33A3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增加77.56万元</w:t>
      </w:r>
      <w:r>
        <w:rPr>
          <w:rFonts w:hint="eastAsia" w:ascii="仿宋_GB2312" w:eastAsia="仿宋_GB2312"/>
          <w:color w:val="auto"/>
          <w:spacing w:val="0"/>
          <w:sz w:val="32"/>
          <w:szCs w:val="32"/>
          <w:highlight w:val="none"/>
          <w:lang w:eastAsia="zh-CN"/>
        </w:rPr>
        <w:t>，增长6.29%，主要原因是：</w:t>
      </w:r>
      <w:r>
        <w:rPr>
          <w:rFonts w:hint="eastAsia" w:ascii="仿宋_GB2312" w:eastAsia="仿宋_GB2312"/>
          <w:sz w:val="32"/>
          <w:szCs w:val="32"/>
        </w:rPr>
        <w:t>一是202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w:t>
      </w:r>
      <w:r>
        <w:rPr>
          <w:rFonts w:hint="eastAsia" w:ascii="仿宋_GB2312" w:eastAsia="仿宋_GB2312"/>
          <w:sz w:val="32"/>
          <w:szCs w:val="32"/>
        </w:rPr>
        <w:t>造成当年人员经费增加；二是202</w:t>
      </w:r>
      <w:r>
        <w:rPr>
          <w:rFonts w:hint="eastAsia" w:ascii="仿宋_GB2312" w:eastAsia="仿宋_GB2312"/>
          <w:sz w:val="32"/>
          <w:szCs w:val="32"/>
          <w:lang w:val="en-US" w:eastAsia="zh-CN"/>
        </w:rPr>
        <w:t>3</w:t>
      </w:r>
      <w:r>
        <w:rPr>
          <w:rFonts w:hint="eastAsia" w:ascii="仿宋_GB2312" w:eastAsia="仿宋_GB2312"/>
          <w:sz w:val="32"/>
          <w:szCs w:val="32"/>
        </w:rPr>
        <w:t>年度人员职务职级晋升及调资；三是追加202</w:t>
      </w:r>
      <w:r>
        <w:rPr>
          <w:rFonts w:hint="eastAsia" w:ascii="仿宋_GB2312" w:eastAsia="仿宋_GB2312"/>
          <w:sz w:val="32"/>
          <w:szCs w:val="32"/>
          <w:lang w:val="en-US" w:eastAsia="zh-CN"/>
        </w:rPr>
        <w:t>2</w:t>
      </w:r>
      <w:r>
        <w:rPr>
          <w:rFonts w:hint="eastAsia" w:ascii="仿宋_GB2312" w:eastAsia="仿宋_GB2312"/>
          <w:sz w:val="32"/>
          <w:szCs w:val="32"/>
        </w:rPr>
        <w:t>年度基础绩效</w:t>
      </w:r>
      <w:r>
        <w:rPr>
          <w:rFonts w:hint="eastAsia" w:ascii="仿宋_GB2312" w:eastAsia="仿宋_GB2312"/>
          <w:sz w:val="32"/>
          <w:szCs w:val="32"/>
          <w:lang w:val="en-US" w:eastAsia="zh-CN"/>
        </w:rPr>
        <w:t>奖及追加2022年-2023年艰苦边远津贴收入支出增加</w:t>
      </w:r>
      <w:r>
        <w:rPr>
          <w:rFonts w:hint="eastAsia" w:ascii="仿宋_GB2312" w:eastAsia="仿宋_GB2312"/>
          <w:color w:val="auto"/>
          <w:spacing w:val="0"/>
          <w:sz w:val="32"/>
          <w:szCs w:val="32"/>
          <w:highlight w:val="none"/>
          <w:lang w:eastAsia="zh-CN"/>
        </w:rPr>
        <w:t>。</w:t>
      </w:r>
    </w:p>
    <w:p w14:paraId="0D07B0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E372D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1,224.23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1,224.10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w:t>
      </w:r>
    </w:p>
    <w:p w14:paraId="324F17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7BAABA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本年支出1,284.31万元，其中：基本支出905.23万元，占70.48%；项目支出379.07万元，占29.52%；上缴上级支出0.00万元，占0.00%；经营支出0.00万元，占0.00%；对附属单位补助支出0.00万元，占0.00%。</w:t>
      </w:r>
    </w:p>
    <w:p w14:paraId="7C0B36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52640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1,309.78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85.68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1,224.10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1,309.78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25.61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1,284.17</w:t>
      </w:r>
      <w:r>
        <w:rPr>
          <w:rFonts w:hint="eastAsia" w:ascii="仿宋_GB2312" w:eastAsia="仿宋_GB2312"/>
          <w:color w:val="auto"/>
          <w:spacing w:val="0"/>
          <w:sz w:val="32"/>
          <w:szCs w:val="32"/>
          <w:highlight w:val="none"/>
          <w:lang w:eastAsia="zh-CN"/>
        </w:rPr>
        <w:t>万元。</w:t>
      </w:r>
    </w:p>
    <w:p w14:paraId="3D86FC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增加77.50万元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增长6.29%,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一是202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w:t>
      </w:r>
      <w:r>
        <w:rPr>
          <w:rFonts w:hint="eastAsia" w:ascii="仿宋_GB2312" w:eastAsia="仿宋_GB2312"/>
          <w:sz w:val="32"/>
          <w:szCs w:val="32"/>
        </w:rPr>
        <w:t>造成当年人员经费增加；二是202</w:t>
      </w:r>
      <w:r>
        <w:rPr>
          <w:rFonts w:hint="eastAsia" w:ascii="仿宋_GB2312" w:eastAsia="仿宋_GB2312"/>
          <w:sz w:val="32"/>
          <w:szCs w:val="32"/>
          <w:lang w:val="en-US" w:eastAsia="zh-CN"/>
        </w:rPr>
        <w:t>3</w:t>
      </w:r>
      <w:r>
        <w:rPr>
          <w:rFonts w:hint="eastAsia" w:ascii="仿宋_GB2312" w:eastAsia="仿宋_GB2312"/>
          <w:sz w:val="32"/>
          <w:szCs w:val="32"/>
        </w:rPr>
        <w:t>年度人员职务职级晋升及调资；三是追加202</w:t>
      </w:r>
      <w:r>
        <w:rPr>
          <w:rFonts w:hint="eastAsia" w:ascii="仿宋_GB2312" w:eastAsia="仿宋_GB2312"/>
          <w:sz w:val="32"/>
          <w:szCs w:val="32"/>
          <w:lang w:val="en-US" w:eastAsia="zh-CN"/>
        </w:rPr>
        <w:t>2</w:t>
      </w:r>
      <w:r>
        <w:rPr>
          <w:rFonts w:hint="eastAsia" w:ascii="仿宋_GB2312" w:eastAsia="仿宋_GB2312"/>
          <w:sz w:val="32"/>
          <w:szCs w:val="32"/>
        </w:rPr>
        <w:t>年度基础绩效</w:t>
      </w:r>
      <w:r>
        <w:rPr>
          <w:rFonts w:hint="eastAsia" w:ascii="仿宋_GB2312" w:eastAsia="仿宋_GB2312"/>
          <w:sz w:val="32"/>
          <w:szCs w:val="32"/>
          <w:lang w:val="en-US" w:eastAsia="zh-CN"/>
        </w:rPr>
        <w:t>奖及追加2022年-2023年艰苦边远津贴收入支出增加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1,114.88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1,309.78</w:t>
      </w:r>
      <w:r>
        <w:rPr>
          <w:rFonts w:hint="eastAsia" w:ascii="仿宋_GB2312" w:eastAsia="仿宋_GB2312"/>
          <w:color w:val="auto"/>
          <w:spacing w:val="0"/>
          <w:sz w:val="32"/>
          <w:szCs w:val="32"/>
          <w:highlight w:val="none"/>
          <w:lang w:eastAsia="zh-CN"/>
        </w:rPr>
        <w:t>万元，预决算差异率17.48%，主要原因是：</w:t>
      </w:r>
      <w:r>
        <w:rPr>
          <w:rFonts w:hint="eastAsia" w:ascii="仿宋_GB2312" w:eastAsia="仿宋_GB2312"/>
          <w:sz w:val="32"/>
          <w:szCs w:val="32"/>
        </w:rPr>
        <w:t>一是202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w:t>
      </w:r>
      <w:r>
        <w:rPr>
          <w:rFonts w:hint="eastAsia" w:ascii="仿宋_GB2312" w:eastAsia="仿宋_GB2312"/>
          <w:sz w:val="32"/>
          <w:szCs w:val="32"/>
        </w:rPr>
        <w:t>造成当年人员经费增加；二是202</w:t>
      </w:r>
      <w:r>
        <w:rPr>
          <w:rFonts w:hint="eastAsia" w:ascii="仿宋_GB2312" w:eastAsia="仿宋_GB2312"/>
          <w:sz w:val="32"/>
          <w:szCs w:val="32"/>
          <w:lang w:val="en-US" w:eastAsia="zh-CN"/>
        </w:rPr>
        <w:t>3</w:t>
      </w:r>
      <w:r>
        <w:rPr>
          <w:rFonts w:hint="eastAsia" w:ascii="仿宋_GB2312" w:eastAsia="仿宋_GB2312"/>
          <w:sz w:val="32"/>
          <w:szCs w:val="32"/>
        </w:rPr>
        <w:t>年度人员职务职级晋升及调资；三是追加202</w:t>
      </w:r>
      <w:r>
        <w:rPr>
          <w:rFonts w:hint="eastAsia" w:ascii="仿宋_GB2312" w:eastAsia="仿宋_GB2312"/>
          <w:sz w:val="32"/>
          <w:szCs w:val="32"/>
          <w:lang w:val="en-US" w:eastAsia="zh-CN"/>
        </w:rPr>
        <w:t>2</w:t>
      </w:r>
      <w:r>
        <w:rPr>
          <w:rFonts w:hint="eastAsia" w:ascii="仿宋_GB2312" w:eastAsia="仿宋_GB2312"/>
          <w:sz w:val="32"/>
          <w:szCs w:val="32"/>
        </w:rPr>
        <w:t>年度基础绩效</w:t>
      </w:r>
      <w:r>
        <w:rPr>
          <w:rFonts w:hint="eastAsia" w:ascii="仿宋_GB2312" w:eastAsia="仿宋_GB2312"/>
          <w:sz w:val="32"/>
          <w:szCs w:val="32"/>
          <w:lang w:val="en-US" w:eastAsia="zh-CN"/>
        </w:rPr>
        <w:t>奖及追加2022年-2023年艰苦边远津贴收入支出增加</w:t>
      </w:r>
      <w:r>
        <w:rPr>
          <w:rFonts w:hint="eastAsia" w:ascii="仿宋_GB2312" w:eastAsia="仿宋_GB2312"/>
          <w:color w:val="auto"/>
          <w:spacing w:val="0"/>
          <w:sz w:val="32"/>
          <w:szCs w:val="32"/>
          <w:highlight w:val="none"/>
          <w:lang w:eastAsia="zh-CN"/>
        </w:rPr>
        <w:t>。</w:t>
      </w:r>
    </w:p>
    <w:p w14:paraId="2FBA0F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02CC47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27381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2023年度一般公共预算财政拨款支出1,284.17万元，占本年支出合计的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增加137.57万元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增长12.00%,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一是202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w:t>
      </w:r>
      <w:r>
        <w:rPr>
          <w:rFonts w:hint="eastAsia" w:ascii="仿宋_GB2312" w:eastAsia="仿宋_GB2312"/>
          <w:sz w:val="32"/>
          <w:szCs w:val="32"/>
        </w:rPr>
        <w:t>造成当年人员经费增加；二是202</w:t>
      </w:r>
      <w:r>
        <w:rPr>
          <w:rFonts w:hint="eastAsia" w:ascii="仿宋_GB2312" w:eastAsia="仿宋_GB2312"/>
          <w:sz w:val="32"/>
          <w:szCs w:val="32"/>
          <w:lang w:val="en-US" w:eastAsia="zh-CN"/>
        </w:rPr>
        <w:t>3</w:t>
      </w:r>
      <w:r>
        <w:rPr>
          <w:rFonts w:hint="eastAsia" w:ascii="仿宋_GB2312" w:eastAsia="仿宋_GB2312"/>
          <w:sz w:val="32"/>
          <w:szCs w:val="32"/>
        </w:rPr>
        <w:t>年度人员职务职级晋升及调资；三是追加202</w:t>
      </w:r>
      <w:r>
        <w:rPr>
          <w:rFonts w:hint="eastAsia" w:ascii="仿宋_GB2312" w:eastAsia="仿宋_GB2312"/>
          <w:sz w:val="32"/>
          <w:szCs w:val="32"/>
          <w:lang w:val="en-US" w:eastAsia="zh-CN"/>
        </w:rPr>
        <w:t>2</w:t>
      </w:r>
      <w:r>
        <w:rPr>
          <w:rFonts w:hint="eastAsia" w:ascii="仿宋_GB2312" w:eastAsia="仿宋_GB2312"/>
          <w:sz w:val="32"/>
          <w:szCs w:val="32"/>
        </w:rPr>
        <w:t>年度基础绩效</w:t>
      </w:r>
      <w:r>
        <w:rPr>
          <w:rFonts w:hint="eastAsia" w:ascii="仿宋_GB2312" w:eastAsia="仿宋_GB2312"/>
          <w:sz w:val="32"/>
          <w:szCs w:val="32"/>
          <w:lang w:val="en-US" w:eastAsia="zh-CN"/>
        </w:rPr>
        <w:t>奖及追加2022年-2023年艰苦边远津贴收入支出增加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1,114.88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1,284.17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15.18%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一是202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w:t>
      </w:r>
      <w:r>
        <w:rPr>
          <w:rFonts w:hint="eastAsia" w:ascii="仿宋_GB2312" w:eastAsia="仿宋_GB2312"/>
          <w:sz w:val="32"/>
          <w:szCs w:val="32"/>
        </w:rPr>
        <w:t>造成当年人员经费增加；二是202</w:t>
      </w:r>
      <w:r>
        <w:rPr>
          <w:rFonts w:hint="eastAsia" w:ascii="仿宋_GB2312" w:eastAsia="仿宋_GB2312"/>
          <w:sz w:val="32"/>
          <w:szCs w:val="32"/>
          <w:lang w:val="en-US" w:eastAsia="zh-CN"/>
        </w:rPr>
        <w:t>3</w:t>
      </w:r>
      <w:r>
        <w:rPr>
          <w:rFonts w:hint="eastAsia" w:ascii="仿宋_GB2312" w:eastAsia="仿宋_GB2312"/>
          <w:sz w:val="32"/>
          <w:szCs w:val="32"/>
        </w:rPr>
        <w:t>年度人员职务职级晋升及调资；三是追加202</w:t>
      </w:r>
      <w:r>
        <w:rPr>
          <w:rFonts w:hint="eastAsia" w:ascii="仿宋_GB2312" w:eastAsia="仿宋_GB2312"/>
          <w:sz w:val="32"/>
          <w:szCs w:val="32"/>
          <w:lang w:val="en-US" w:eastAsia="zh-CN"/>
        </w:rPr>
        <w:t>2</w:t>
      </w:r>
      <w:r>
        <w:rPr>
          <w:rFonts w:hint="eastAsia" w:ascii="仿宋_GB2312" w:eastAsia="仿宋_GB2312"/>
          <w:sz w:val="32"/>
          <w:szCs w:val="32"/>
        </w:rPr>
        <w:t>年度基础绩效</w:t>
      </w:r>
      <w:r>
        <w:rPr>
          <w:rFonts w:hint="eastAsia" w:ascii="仿宋_GB2312" w:eastAsia="仿宋_GB2312"/>
          <w:sz w:val="32"/>
          <w:szCs w:val="32"/>
          <w:lang w:val="en-US" w:eastAsia="zh-CN"/>
        </w:rPr>
        <w:t>奖及追加2022年-2023年艰苦边远津贴收入支出增加</w:t>
      </w:r>
      <w:r>
        <w:rPr>
          <w:rFonts w:hint="eastAsia" w:ascii="仿宋_GB2312" w:eastAsia="仿宋_GB2312"/>
          <w:color w:val="auto"/>
          <w:spacing w:val="0"/>
          <w:sz w:val="32"/>
          <w:szCs w:val="32"/>
          <w:highlight w:val="none"/>
          <w:lang w:eastAsia="zh-CN"/>
        </w:rPr>
        <w:t>。</w:t>
      </w:r>
    </w:p>
    <w:p w14:paraId="4EDE38D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AA02D7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120.62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9.39%</w:t>
      </w:r>
      <w:r>
        <w:rPr>
          <w:rFonts w:hint="default" w:ascii="仿宋_GB2312" w:hAnsi="Times New Roman" w:eastAsia="仿宋_GB2312" w:cs="Times New Roman"/>
          <w:color w:val="auto"/>
          <w:spacing w:val="0"/>
          <w:kern w:val="2"/>
          <w:sz w:val="32"/>
          <w:szCs w:val="32"/>
          <w:highlight w:val="none"/>
          <w:lang w:val="zh-CN" w:eastAsia="zh-CN" w:bidi="ar-SA"/>
        </w:rPr>
        <w:t>；</w:t>
      </w:r>
    </w:p>
    <w:p w14:paraId="5004729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70.61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5.50%</w:t>
      </w:r>
      <w:r>
        <w:rPr>
          <w:rFonts w:hint="default" w:ascii="仿宋_GB2312" w:hAnsi="Times New Roman" w:eastAsia="仿宋_GB2312" w:cs="Times New Roman"/>
          <w:color w:val="auto"/>
          <w:spacing w:val="0"/>
          <w:kern w:val="2"/>
          <w:sz w:val="32"/>
          <w:szCs w:val="32"/>
          <w:highlight w:val="none"/>
          <w:lang w:val="zh-CN" w:eastAsia="zh-CN" w:bidi="ar-SA"/>
        </w:rPr>
        <w:t>；</w:t>
      </w:r>
    </w:p>
    <w:p w14:paraId="2BDA53B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1,036.66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80.73%</w:t>
      </w:r>
      <w:r>
        <w:rPr>
          <w:rFonts w:hint="default" w:ascii="仿宋_GB2312" w:hAnsi="Times New Roman" w:eastAsia="仿宋_GB2312" w:cs="Times New Roman"/>
          <w:color w:val="auto"/>
          <w:spacing w:val="0"/>
          <w:kern w:val="2"/>
          <w:sz w:val="32"/>
          <w:szCs w:val="32"/>
          <w:highlight w:val="none"/>
          <w:lang w:val="zh-CN" w:eastAsia="zh-CN" w:bidi="ar-SA"/>
        </w:rPr>
        <w:t>；</w:t>
      </w:r>
    </w:p>
    <w:p w14:paraId="74F8B7E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56.28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4.38%</w:t>
      </w:r>
      <w:r>
        <w:rPr>
          <w:rFonts w:hint="default" w:ascii="仿宋_GB2312" w:hAnsi="Times New Roman" w:eastAsia="仿宋_GB2312" w:cs="Times New Roman"/>
          <w:color w:val="auto"/>
          <w:spacing w:val="0"/>
          <w:kern w:val="2"/>
          <w:sz w:val="32"/>
          <w:szCs w:val="32"/>
          <w:highlight w:val="none"/>
          <w:lang w:val="zh-CN" w:eastAsia="zh-CN" w:bidi="ar-SA"/>
        </w:rPr>
        <w:t>；</w:t>
      </w:r>
    </w:p>
    <w:p w14:paraId="20EFA3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218976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1.卫生健康支出（类）行政事业单位医疗（款）行政单位医疗（项）:支出决算数为37.78万元，比上年决算增加2.86万元，增长8.19%，主要原因是：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人员发生变动职务职级晋升，</w:t>
      </w:r>
      <w:r>
        <w:rPr>
          <w:rFonts w:hint="eastAsia" w:ascii="仿宋_GB2312" w:eastAsia="仿宋_GB2312"/>
          <w:sz w:val="32"/>
          <w:szCs w:val="32"/>
        </w:rPr>
        <w:t>人员调标增资</w:t>
      </w:r>
      <w:r>
        <w:rPr>
          <w:rFonts w:hint="eastAsia" w:ascii="仿宋_GB2312" w:eastAsia="仿宋_GB2312"/>
          <w:sz w:val="32"/>
          <w:szCs w:val="32"/>
          <w:lang w:val="en-US" w:eastAsia="zh-CN"/>
        </w:rPr>
        <w:t>医保基数调增支出增加</w:t>
      </w:r>
      <w:r>
        <w:rPr>
          <w:rFonts w:hint="eastAsia" w:ascii="仿宋_GB2312" w:hAnsi="仿宋_GB2312" w:eastAsia="仿宋_GB2312" w:cs="仿宋_GB2312"/>
          <w:color w:val="auto"/>
          <w:kern w:val="2"/>
          <w:sz w:val="32"/>
          <w:szCs w:val="32"/>
          <w:highlight w:val="none"/>
          <w:lang w:val="zh-CN" w:eastAsia="zh-CN" w:bidi="ar-SA"/>
        </w:rPr>
        <w:t>。</w:t>
      </w:r>
    </w:p>
    <w:p w14:paraId="012A41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2.卫生健康支出（类）行政事业单位医疗（款）公务员医疗补助（项）:支出决算数为32.83万元，比上年决算增加5.67万元，增长20.88%，主要原因是：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人员发生变动职务职级晋升，</w:t>
      </w:r>
      <w:r>
        <w:rPr>
          <w:rFonts w:hint="eastAsia" w:ascii="仿宋_GB2312" w:eastAsia="仿宋_GB2312"/>
          <w:sz w:val="32"/>
          <w:szCs w:val="32"/>
        </w:rPr>
        <w:t>人员调标增资</w:t>
      </w:r>
      <w:r>
        <w:rPr>
          <w:rFonts w:hint="eastAsia" w:ascii="仿宋_GB2312" w:eastAsia="仿宋_GB2312"/>
          <w:sz w:val="32"/>
          <w:szCs w:val="32"/>
          <w:lang w:val="en-US" w:eastAsia="zh-CN"/>
        </w:rPr>
        <w:t>医保基数调增支出增加</w:t>
      </w:r>
      <w:r>
        <w:rPr>
          <w:rFonts w:hint="eastAsia" w:ascii="仿宋_GB2312" w:hAnsi="仿宋_GB2312" w:eastAsia="仿宋_GB2312" w:cs="仿宋_GB2312"/>
          <w:color w:val="auto"/>
          <w:kern w:val="2"/>
          <w:sz w:val="32"/>
          <w:szCs w:val="32"/>
          <w:highlight w:val="none"/>
          <w:lang w:val="zh-CN" w:eastAsia="zh-CN" w:bidi="ar-SA"/>
        </w:rPr>
        <w:t>。</w:t>
      </w:r>
    </w:p>
    <w:p w14:paraId="3181B4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3.自然资源海洋气象等支出（类）自然资源事务（款）其他自然资源事务支出（项）:支出决算数为379.07万元，比上年决算增加117.87万元，增长45.13%，主要原因是：</w:t>
      </w:r>
      <w:r>
        <w:rPr>
          <w:rFonts w:hint="eastAsia" w:ascii="仿宋_GB2312" w:eastAsia="仿宋_GB2312"/>
          <w:sz w:val="32"/>
          <w:szCs w:val="32"/>
        </w:rPr>
        <w:t>执法业务</w:t>
      </w:r>
      <w:r>
        <w:rPr>
          <w:rFonts w:hint="eastAsia" w:ascii="仿宋_GB2312" w:eastAsia="仿宋_GB2312"/>
          <w:sz w:val="32"/>
          <w:szCs w:val="32"/>
          <w:lang w:val="en-US" w:eastAsia="zh-CN"/>
        </w:rPr>
        <w:t>活动增加</w:t>
      </w:r>
      <w:r>
        <w:rPr>
          <w:rFonts w:hint="eastAsia" w:ascii="仿宋_GB2312" w:eastAsia="仿宋_GB2312"/>
          <w:sz w:val="32"/>
          <w:szCs w:val="32"/>
        </w:rPr>
        <w:t>，支出</w:t>
      </w:r>
      <w:r>
        <w:rPr>
          <w:rFonts w:hint="eastAsia" w:ascii="仿宋_GB2312" w:eastAsia="仿宋_GB2312"/>
          <w:sz w:val="32"/>
          <w:szCs w:val="32"/>
          <w:lang w:val="en-US" w:eastAsia="zh-CN"/>
        </w:rPr>
        <w:t>增加</w:t>
      </w:r>
      <w:r>
        <w:rPr>
          <w:rFonts w:hint="eastAsia" w:ascii="仿宋_GB2312" w:hAnsi="仿宋_GB2312" w:eastAsia="仿宋_GB2312" w:cs="仿宋_GB2312"/>
          <w:color w:val="auto"/>
          <w:kern w:val="2"/>
          <w:sz w:val="32"/>
          <w:szCs w:val="32"/>
          <w:highlight w:val="none"/>
          <w:lang w:val="zh-CN" w:eastAsia="zh-CN" w:bidi="ar-SA"/>
        </w:rPr>
        <w:t>。</w:t>
      </w:r>
    </w:p>
    <w:p w14:paraId="34CE49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4.自然资源海洋气象等支出（类）自然资源事务（款）行政运行（项）:支出决算数为657.59万元，比上年决算减少8.54万元，下降1.28%，主要原因是：本年有人员退休</w:t>
      </w:r>
      <w:r>
        <w:rPr>
          <w:rFonts w:hint="eastAsia" w:ascii="仿宋_GB2312" w:hAnsi="仿宋_GB2312" w:eastAsia="仿宋_GB2312" w:cs="仿宋_GB2312"/>
          <w:color w:val="auto"/>
          <w:kern w:val="2"/>
          <w:sz w:val="32"/>
          <w:szCs w:val="32"/>
          <w:highlight w:val="none"/>
          <w:lang w:val="zh-CN" w:eastAsia="zh-CN" w:bidi="ar-SA"/>
        </w:rPr>
        <w:t>。</w:t>
      </w:r>
    </w:p>
    <w:p w14:paraId="0446EF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5.住房保障支出（类）住房改革支出（款）住房公积金（项）:支出决算数为56.28万元，比上年决算增加7.89万元，增长16.31%，主要原因是：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人员发生变动职务职级晋升，</w:t>
      </w:r>
      <w:r>
        <w:rPr>
          <w:rFonts w:hint="eastAsia" w:ascii="仿宋_GB2312" w:eastAsia="仿宋_GB2312"/>
          <w:sz w:val="32"/>
          <w:szCs w:val="32"/>
        </w:rPr>
        <w:t>人员调标增资</w:t>
      </w:r>
      <w:r>
        <w:rPr>
          <w:rFonts w:hint="eastAsia" w:ascii="仿宋_GB2312" w:eastAsia="仿宋_GB2312"/>
          <w:sz w:val="32"/>
          <w:szCs w:val="32"/>
          <w:lang w:val="en-US" w:eastAsia="zh-CN"/>
        </w:rPr>
        <w:t>住房公积金基数调增支出增加</w:t>
      </w:r>
      <w:r>
        <w:rPr>
          <w:rFonts w:hint="eastAsia" w:ascii="仿宋_GB2312" w:hAnsi="仿宋_GB2312" w:eastAsia="仿宋_GB2312" w:cs="仿宋_GB2312"/>
          <w:color w:val="auto"/>
          <w:kern w:val="2"/>
          <w:sz w:val="32"/>
          <w:szCs w:val="32"/>
          <w:highlight w:val="none"/>
          <w:lang w:val="zh-CN" w:eastAsia="zh-CN" w:bidi="ar-SA"/>
        </w:rPr>
        <w:t>。</w:t>
      </w:r>
    </w:p>
    <w:p w14:paraId="1CAC396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6.社会保障和就业支出（类）行政事业单位养老支出（款）行政单位离退休（项）:支出决算数为32.70万元，比上年决算减少11.59万元，下降26.17%，主要原因是：</w:t>
      </w:r>
      <w:r>
        <w:rPr>
          <w:rFonts w:hint="eastAsia" w:eastAsia="仿宋_GB2312"/>
          <w:sz w:val="32"/>
          <w:szCs w:val="32"/>
          <w:lang w:val="en-US" w:eastAsia="zh-CN"/>
        </w:rPr>
        <w:t>年末退休医保改革，</w:t>
      </w:r>
      <w:r>
        <w:rPr>
          <w:rFonts w:hint="eastAsia" w:ascii="Times New Roman" w:hAnsi="Times New Roman" w:eastAsia="仿宋_GB2312" w:cs="Times New Roman"/>
          <w:sz w:val="32"/>
          <w:szCs w:val="32"/>
          <w:lang w:val="en-US" w:eastAsia="zh-CN"/>
        </w:rPr>
        <w:t>退回国库退休人员补助医疗</w:t>
      </w:r>
      <w:r>
        <w:rPr>
          <w:rFonts w:hint="eastAsia" w:eastAsia="仿宋_GB2312" w:cs="Times New Roman"/>
          <w:sz w:val="32"/>
          <w:szCs w:val="32"/>
          <w:lang w:val="en-US" w:eastAsia="zh-CN"/>
        </w:rPr>
        <w:t>支出减少</w:t>
      </w:r>
      <w:r>
        <w:rPr>
          <w:rFonts w:hint="eastAsia" w:ascii="仿宋_GB2312" w:hAnsi="仿宋_GB2312" w:eastAsia="仿宋_GB2312" w:cs="仿宋_GB2312"/>
          <w:color w:val="auto"/>
          <w:kern w:val="2"/>
          <w:sz w:val="32"/>
          <w:szCs w:val="32"/>
          <w:highlight w:val="none"/>
          <w:lang w:val="zh-CN" w:eastAsia="zh-CN" w:bidi="ar-SA"/>
        </w:rPr>
        <w:t>。</w:t>
      </w:r>
    </w:p>
    <w:p w14:paraId="4D94217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7.社会保障和就业支出（类）行政事业单位养老支出（款）机关事业单位职业年金缴费支出（项）:支出决算数为12.88万元，比上年决算增加12.88万元，增长100%，主要原因是：</w:t>
      </w:r>
      <w:r>
        <w:rPr>
          <w:rFonts w:hint="eastAsia" w:eastAsia="仿宋_GB2312"/>
          <w:sz w:val="32"/>
          <w:szCs w:val="32"/>
          <w:lang w:val="en-US" w:eastAsia="zh-CN"/>
        </w:rPr>
        <w:t>2023年在职转退休，</w:t>
      </w:r>
      <w:r>
        <w:rPr>
          <w:rFonts w:hint="eastAsia" w:eastAsia="仿宋_GB2312"/>
          <w:sz w:val="32"/>
          <w:szCs w:val="32"/>
        </w:rPr>
        <w:t>职业年金缴费</w:t>
      </w:r>
      <w:r>
        <w:rPr>
          <w:rFonts w:hint="eastAsia" w:eastAsia="仿宋_GB2312"/>
          <w:sz w:val="32"/>
          <w:szCs w:val="32"/>
          <w:lang w:val="en-US" w:eastAsia="zh-CN"/>
        </w:rPr>
        <w:t>支出增加</w:t>
      </w:r>
      <w:r>
        <w:rPr>
          <w:rFonts w:hint="eastAsia" w:ascii="仿宋_GB2312" w:hAnsi="仿宋_GB2312" w:eastAsia="仿宋_GB2312" w:cs="仿宋_GB2312"/>
          <w:color w:val="auto"/>
          <w:kern w:val="2"/>
          <w:sz w:val="32"/>
          <w:szCs w:val="32"/>
          <w:highlight w:val="none"/>
          <w:lang w:val="zh-CN" w:eastAsia="zh-CN" w:bidi="ar-SA"/>
        </w:rPr>
        <w:t>。</w:t>
      </w:r>
    </w:p>
    <w:p w14:paraId="2D3271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8.社会保障和就业支出（类）行政事业单位养老支出（款）机关事业单位基本养老保险缴费支出（项）:支出决算数为75.04万元，比上年决算增加10.52万元，增长16.31%，主要原因是：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人员发生变动职务职级晋升，</w:t>
      </w:r>
      <w:r>
        <w:rPr>
          <w:rFonts w:hint="eastAsia" w:ascii="仿宋_GB2312" w:eastAsia="仿宋_GB2312"/>
          <w:sz w:val="32"/>
          <w:szCs w:val="32"/>
        </w:rPr>
        <w:t>人员调标增资</w:t>
      </w:r>
      <w:r>
        <w:rPr>
          <w:rFonts w:hint="eastAsia" w:ascii="仿宋_GB2312" w:eastAsia="仿宋_GB2312"/>
          <w:sz w:val="32"/>
          <w:szCs w:val="32"/>
          <w:lang w:val="en-US" w:eastAsia="zh-CN"/>
        </w:rPr>
        <w:t>社保基数调增支出增加</w:t>
      </w:r>
      <w:r>
        <w:rPr>
          <w:rFonts w:hint="eastAsia" w:ascii="仿宋_GB2312" w:hAnsi="仿宋_GB2312" w:eastAsia="仿宋_GB2312" w:cs="仿宋_GB2312"/>
          <w:color w:val="auto"/>
          <w:kern w:val="2"/>
          <w:sz w:val="32"/>
          <w:szCs w:val="32"/>
          <w:highlight w:val="none"/>
          <w:lang w:val="zh-CN" w:eastAsia="zh-CN" w:bidi="ar-SA"/>
        </w:rPr>
        <w:t>。</w:t>
      </w:r>
    </w:p>
    <w:p w14:paraId="3EE148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694FABC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905.10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848.53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基本工资、津贴补贴、奖金、机关事业单位基本养老保险缴费、职业年金缴费、职工基本医疗保险缴费、公务员医疗补助缴费、住房公积金、其他工资福利支出、退休费。</w:t>
      </w:r>
    </w:p>
    <w:p w14:paraId="0C21975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56.57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办公费、手续费、邮电费、取暖费、差旅费、工会经费、福利费、其他交通费用。</w:t>
      </w:r>
    </w:p>
    <w:p w14:paraId="2798C5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538EDA3">
      <w:pPr>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w:t>
      </w:r>
    </w:p>
    <w:p w14:paraId="7E1A897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691CC6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。单位全年安排的因公出国（境）团组0个，因公出国（境）0人次。</w:t>
      </w:r>
    </w:p>
    <w:p w14:paraId="4C04120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均为</w:t>
      </w:r>
      <w:r>
        <w:rPr>
          <w:rFonts w:hint="eastAsia" w:ascii="仿宋_GB2312" w:eastAsia="仿宋_GB2312"/>
          <w:sz w:val="32"/>
          <w:szCs w:val="32"/>
          <w:lang w:val="en-US" w:eastAsia="zh-CN"/>
        </w:rPr>
        <w:t>执法执勤用车</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2D7A0F2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。单位全年安排的国内公务接待0批次，0人次。</w:t>
      </w:r>
    </w:p>
    <w:p w14:paraId="16120A2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w:t>
      </w:r>
    </w:p>
    <w:p w14:paraId="673CE2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7BD00A0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480A1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713DDA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0FD206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6C536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0D196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塔城地区国土资源执法监察支队机关运行经费支出56.57万元，</w:t>
      </w:r>
      <w:r>
        <w:rPr>
          <w:rFonts w:hint="eastAsia" w:ascii="仿宋_GB2312" w:hAnsi="仿宋_GB2312" w:eastAsia="仿宋_GB2312" w:cs="仿宋_GB2312"/>
          <w:color w:val="auto"/>
          <w:sz w:val="32"/>
          <w:szCs w:val="32"/>
          <w:highlight w:val="none"/>
          <w:lang w:val="zh-CN" w:eastAsia="zh-CN"/>
        </w:rPr>
        <w:t>比上年减少2.70万元，下降4.56%，主要原因是：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年度本着节约集约利用的原则，在不影响工作正常开展的前提下，缩减开支</w:t>
      </w:r>
      <w:r>
        <w:rPr>
          <w:rFonts w:hint="eastAsia" w:ascii="仿宋_GB2312" w:hAnsi="仿宋_GB2312" w:eastAsia="仿宋_GB2312" w:cs="仿宋_GB2312"/>
          <w:color w:val="auto"/>
          <w:sz w:val="32"/>
          <w:szCs w:val="32"/>
          <w:highlight w:val="none"/>
          <w:lang w:val="zh-CN" w:eastAsia="zh-CN"/>
        </w:rPr>
        <w:t>。</w:t>
      </w:r>
    </w:p>
    <w:p w14:paraId="3BC7B1A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塔城地区国土资源执法监察支队公用经费0.00万元，</w:t>
      </w:r>
      <w:r>
        <w:rPr>
          <w:rFonts w:hint="eastAsia" w:ascii="仿宋_GB2312" w:hAnsi="仿宋_GB2312" w:eastAsia="仿宋_GB2312" w:cs="仿宋_GB2312"/>
          <w:color w:val="auto"/>
          <w:sz w:val="32"/>
          <w:szCs w:val="32"/>
          <w:highlight w:val="none"/>
          <w:lang w:val="zh-CN" w:eastAsia="zh-CN"/>
        </w:rPr>
        <w:t>比上年增加</w:t>
      </w:r>
      <w:r>
        <w:rPr>
          <w:rFonts w:hint="eastAsia" w:ascii="仿宋_GB2312" w:hAnsi="仿宋_GB2312" w:eastAsia="仿宋_GB2312" w:cs="仿宋_GB2312"/>
          <w:color w:val="auto"/>
          <w:sz w:val="32"/>
          <w:szCs w:val="32"/>
          <w:highlight w:val="none"/>
          <w:lang w:val="en-US" w:eastAsia="zh-CN"/>
        </w:rPr>
        <w:t>0.00万元，</w:t>
      </w:r>
      <w:r>
        <w:rPr>
          <w:rFonts w:hint="eastAsia" w:ascii="仿宋_GB2312" w:hAnsi="仿宋_GB2312" w:eastAsia="仿宋_GB2312" w:cs="仿宋_GB2312"/>
          <w:color w:val="auto"/>
          <w:sz w:val="32"/>
          <w:szCs w:val="32"/>
          <w:highlight w:val="none"/>
          <w:lang w:val="zh-CN" w:eastAsia="zh-CN"/>
        </w:rPr>
        <w:t>增长0.00%，主要原因是：</w:t>
      </w:r>
      <w:r>
        <w:rPr>
          <w:rFonts w:hint="eastAsia" w:ascii="仿宋_GB2312" w:hAnsi="仿宋_GB2312" w:eastAsia="仿宋_GB2312" w:cs="仿宋_GB2312"/>
          <w:color w:val="auto"/>
          <w:sz w:val="32"/>
          <w:szCs w:val="32"/>
          <w:highlight w:val="none"/>
          <w:lang w:val="en-US" w:eastAsia="zh-CN"/>
        </w:rPr>
        <w:t>无</w:t>
      </w:r>
      <w:r>
        <w:rPr>
          <w:rFonts w:hint="eastAsia" w:ascii="仿宋_GB2312" w:hAnsi="仿宋_GB2312" w:eastAsia="仿宋_GB2312" w:cs="仿宋_GB2312"/>
          <w:color w:val="auto"/>
          <w:sz w:val="32"/>
          <w:szCs w:val="32"/>
          <w:highlight w:val="none"/>
          <w:lang w:val="zh-CN" w:eastAsia="zh-CN"/>
        </w:rPr>
        <w:t>。</w:t>
      </w:r>
    </w:p>
    <w:p w14:paraId="4D1771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36F036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14:paraId="563B74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14:paraId="182386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202A55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960.74</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屋1,040.60平方米，价值369.27万元。车辆17辆，价值330.68万元，其中：副部（省）级及以上领导用车0辆、主要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用车0辆、机要通信用车0辆、应急保障用车0辆、执法执勤用车8辆、特种专业技术用车0辆、离退休干部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用车0辆、其他用车9辆，其他用车主要是：</w:t>
      </w:r>
      <w:r>
        <w:rPr>
          <w:rFonts w:hint="eastAsia" w:ascii="仿宋_GB2312" w:eastAsia="仿宋_GB2312"/>
          <w:color w:val="auto"/>
          <w:sz w:val="32"/>
          <w:szCs w:val="32"/>
          <w:highlight w:val="none"/>
          <w:lang w:val="en-US" w:eastAsia="zh-CN"/>
        </w:rPr>
        <w:t>正常办公出行车辆</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1D2FAD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0CED800">
      <w:pPr>
        <w:ind w:firstLine="640" w:firstLineChars="200"/>
        <w:rPr>
          <w:rFonts w:ascii="仿宋_GB2312" w:eastAsia="仿宋_GB2312"/>
          <w:sz w:val="32"/>
          <w:szCs w:val="32"/>
        </w:rPr>
      </w:pPr>
      <w:r>
        <w:rPr>
          <w:rFonts w:hint="eastAsia" w:ascii="仿宋_GB2312" w:eastAsia="仿宋_GB2312"/>
          <w:sz w:val="32"/>
          <w:szCs w:val="32"/>
        </w:rPr>
        <w:t>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14:paraId="44F97D7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bookmarkStart w:id="48" w:name="_GoBack"/>
      <w:bookmarkEnd w:id="48"/>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0509801">
      <w:pPr>
        <w:ind w:firstLine="640" w:firstLineChars="200"/>
        <w:jc w:val="left"/>
        <w:rPr>
          <w:rFonts w:hint="eastAsia" w:ascii="仿宋_GB2312" w:hAnsi="仿宋_GB2312" w:eastAsia="仿宋_GB2312" w:cs="仿宋_GB2312"/>
          <w:b w:val="0"/>
          <w:bCs w:val="0"/>
          <w:kern w:val="0"/>
          <w:sz w:val="32"/>
          <w:szCs w:val="32"/>
          <w:lang w:eastAsia="zh-CN"/>
        </w:rPr>
      </w:pP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授予中小企业合同金额、授予小微企业合同金额为0.00万元，主要原因是：我部门为自治区垂直管理单位，属于自治区外派机构实行驻地采购方式，不在自治区集中采购范围内，所以无政府采购相关情况</w:t>
      </w:r>
      <w:r>
        <w:rPr>
          <w:rFonts w:hint="eastAsia" w:ascii="仿宋_GB2312" w:hAnsi="仿宋_GB2312" w:eastAsia="仿宋_GB2312" w:cs="仿宋_GB2312"/>
          <w:b w:val="0"/>
          <w:bCs w:val="0"/>
          <w:kern w:val="0"/>
          <w:sz w:val="32"/>
          <w:szCs w:val="32"/>
          <w:lang w:eastAsia="zh-CN"/>
        </w:rPr>
        <w:t>。</w:t>
      </w:r>
    </w:p>
    <w:p w14:paraId="3268DC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7357F9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89833C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64B36E7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BFD778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B79BC1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19D770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542E075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012E04F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B976F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9F13FA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DE3F17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DCD2AB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29C705E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3C0B2C7">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5DA62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10D87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165CE4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3308B3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74B784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25323C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A5C8A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7EFB0A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FA993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3DC5A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AC3084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98CEA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CA5B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67E401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67E401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B51EE"/>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9C5DB5"/>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6C0DC9"/>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CF4693"/>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412FD3"/>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1F32EFD"/>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6E6944"/>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6036</Words>
  <Characters>6980</Characters>
  <Lines>0</Lines>
  <Paragraphs>0</Paragraphs>
  <TotalTime>0</TotalTime>
  <ScaleCrop>false</ScaleCrop>
  <LinksUpToDate>false</LinksUpToDate>
  <CharactersWithSpaces>6993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2025-08-07T09:26:28Z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eyJoZGlkIjoiOGI4YzQyYzViNTJiMTBjODFiNWQ3OGVlYjhmNzkxY2EifQ==</vt:lpwstr>
  </property>
</Properties>
</file>