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4BDACF">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1E73521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3CAD2A1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自治区国土资源执法监察总队</w:t>
      </w:r>
    </w:p>
    <w:p w14:paraId="461902A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03217D5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6A44358C">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313B847D">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40C984F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0FAE15A2">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26EEC23E">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283054F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64C4004C">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3699689C">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40C5918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3EDB972A">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4EADF7F8">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2B61623A">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4FAEBBD2">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017A564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67632253">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1AA9946D">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478C40E4">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0D7B8964">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1658CC90">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0E291AC6">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4F4393B1">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10E6E53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7796795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52CC8D98">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2300E9BC">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70F9628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07445F9E">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3E723721">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564A8C1E">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7260230E">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4703A02D">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76342182">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6B4AF645">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40DF86F9">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3DC4A5B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14:paraId="7D3867B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536DC6B8">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自治区国土资源执法监察总队，为自治区国土资源厅副厅级单位，参照公务员管理的事业单位。自治区以下国土资源执法监察机构实行垂直管理，统一</w:t>
      </w:r>
      <w:r>
        <w:rPr>
          <w:rFonts w:ascii="仿宋_GB2312" w:eastAsia="仿宋_GB2312"/>
          <w:sz w:val="32"/>
          <w:szCs w:val="32"/>
        </w:rPr>
        <w:br w:type="textWrapping"/>
      </w:r>
      <w:r>
        <w:rPr>
          <w:rFonts w:ascii="仿宋_GB2312" w:eastAsia="仿宋_GB2312"/>
          <w:sz w:val="32"/>
          <w:szCs w:val="32"/>
        </w:rPr>
        <w:t>　　履行自治区国土资源执法监察职能。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2.组织和实施对全区土地、矿产资源法律、法规、规章情况的巡查，及时发现和制止土地、矿产资源违法行为。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3.依法组织和实施自治区重大土地、矿产资源违法案件的调查、取证、现场勘验工作，并提交自治区土地、矿产资源重大违法案件调查报告和查处意见。</w:t>
      </w:r>
      <w:r>
        <w:rPr>
          <w:rFonts w:ascii="仿宋_GB2312" w:eastAsia="仿宋_GB2312"/>
          <w:sz w:val="32"/>
          <w:szCs w:val="32"/>
        </w:rPr>
        <w:br w:type="textWrapping"/>
      </w:r>
      <w:r>
        <w:rPr>
          <w:rFonts w:ascii="仿宋_GB2312" w:eastAsia="仿宋_GB2312"/>
          <w:sz w:val="32"/>
          <w:szCs w:val="32"/>
        </w:rPr>
        <w:t>　　4.负责自治区重大土地、矿产资源违法案件查处决定的督办。</w:t>
      </w:r>
      <w:r>
        <w:rPr>
          <w:rFonts w:ascii="仿宋_GB2312" w:eastAsia="仿宋_GB2312"/>
          <w:sz w:val="32"/>
          <w:szCs w:val="32"/>
        </w:rPr>
        <w:br w:type="textWrapping"/>
      </w:r>
      <w:r>
        <w:rPr>
          <w:rFonts w:ascii="仿宋_GB2312" w:eastAsia="仿宋_GB2312"/>
          <w:sz w:val="32"/>
          <w:szCs w:val="32"/>
        </w:rPr>
        <w:t>　　5.领导自治区以下国土资源执法监察机构，负责全区国土资源执法监察队伍建设，统一管理全区国土资源执法监察机构的机构编制，人员、经费和内部审计</w:t>
      </w:r>
      <w:r>
        <w:rPr>
          <w:rFonts w:hint="eastAsia" w:ascii="仿宋_GB2312" w:eastAsia="仿宋_GB2312"/>
          <w:sz w:val="32"/>
          <w:szCs w:val="32"/>
        </w:rPr>
        <w:t>。</w:t>
      </w:r>
    </w:p>
    <w:p w14:paraId="4C6435C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0270F76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自治区国土资源执法监察总队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830</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572</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258</w:t>
      </w:r>
      <w:r>
        <w:rPr>
          <w:rFonts w:hint="eastAsia" w:ascii="仿宋_GB2312" w:eastAsia="仿宋_GB2312"/>
          <w:color w:val="auto"/>
          <w:sz w:val="32"/>
          <w:szCs w:val="32"/>
          <w:highlight w:val="none"/>
        </w:rPr>
        <w:t>人。</w:t>
      </w:r>
    </w:p>
    <w:p w14:paraId="3B1777D1">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b/>
          <w:bCs/>
          <w:color w:val="auto"/>
          <w:sz w:val="32"/>
          <w:szCs w:val="32"/>
          <w:highlight w:val="none"/>
          <w:lang w:val="en-US" w:eastAsia="zh-CN"/>
        </w:rPr>
        <w:t>情况一：有下属预算单位按以下内容说明：</w:t>
      </w:r>
    </w:p>
    <w:p w14:paraId="082E7440">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从</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决算单位构成看，</w:t>
      </w:r>
      <w:r>
        <w:rPr>
          <w:rFonts w:hint="eastAsia" w:ascii="仿宋_GB2312" w:eastAsia="仿宋_GB2312"/>
          <w:color w:val="auto"/>
          <w:sz w:val="32"/>
          <w:szCs w:val="32"/>
          <w:highlight w:val="none"/>
          <w:lang w:eastAsia="zh-CN"/>
        </w:rPr>
        <w:t>自治区国土资源执法监察总队</w:t>
      </w:r>
      <w:r>
        <w:rPr>
          <w:rFonts w:hint="eastAsia" w:ascii="仿宋_GB2312" w:eastAsia="仿宋_GB2312"/>
          <w:color w:val="auto"/>
          <w:sz w:val="32"/>
          <w:szCs w:val="32"/>
          <w:highlight w:val="none"/>
        </w:rPr>
        <w:t>部门决算包括：</w:t>
      </w:r>
      <w:r>
        <w:rPr>
          <w:rFonts w:hint="eastAsia" w:ascii="仿宋_GB2312" w:eastAsia="仿宋_GB2312"/>
          <w:color w:val="auto"/>
          <w:sz w:val="32"/>
          <w:szCs w:val="32"/>
          <w:highlight w:val="none"/>
          <w:lang w:eastAsia="zh-CN"/>
        </w:rPr>
        <w:t>新疆维吾尔自治区国土资源执法监察总队</w:t>
      </w:r>
      <w:r>
        <w:rPr>
          <w:rFonts w:hint="eastAsia" w:ascii="仿宋_GB2312" w:eastAsia="仿宋_GB2312"/>
          <w:color w:val="auto"/>
          <w:sz w:val="32"/>
          <w:szCs w:val="32"/>
          <w:highlight w:val="none"/>
        </w:rPr>
        <w:t>本级决算</w:t>
      </w:r>
      <w:r>
        <w:rPr>
          <w:rFonts w:hint="eastAsia" w:ascii="仿宋_GB2312" w:eastAsia="仿宋_GB2312"/>
          <w:color w:val="auto"/>
          <w:sz w:val="32"/>
          <w:szCs w:val="32"/>
          <w:highlight w:val="none"/>
          <w:lang w:eastAsia="zh-CN"/>
        </w:rPr>
        <w:t>及</w:t>
      </w:r>
      <w:r>
        <w:rPr>
          <w:rFonts w:hint="eastAsia" w:ascii="仿宋_GB2312" w:eastAsia="仿宋_GB2312"/>
          <w:color w:val="auto"/>
          <w:sz w:val="32"/>
          <w:szCs w:val="32"/>
          <w:highlight w:val="none"/>
        </w:rPr>
        <w:t>所属单位决算。</w:t>
      </w:r>
    </w:p>
    <w:p w14:paraId="04ACDDC3">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新疆维吾尔自治区国土资源执法监察总队</w:t>
      </w:r>
      <w:r>
        <w:rPr>
          <w:rFonts w:hint="eastAsia" w:ascii="仿宋_GB2312" w:eastAsia="仿宋_GB2312"/>
          <w:color w:val="auto"/>
          <w:sz w:val="32"/>
          <w:szCs w:val="32"/>
          <w:highlight w:val="none"/>
        </w:rPr>
        <w:t>本级</w:t>
      </w:r>
      <w:r>
        <w:rPr>
          <w:rFonts w:hint="eastAsia" w:ascii="仿宋_GB2312" w:hAnsi="黑体" w:eastAsia="仿宋_GB2312" w:cs="宋体"/>
          <w:bCs/>
          <w:kern w:val="0"/>
          <w:sz w:val="32"/>
          <w:szCs w:val="32"/>
        </w:rPr>
        <w:t>下设</w:t>
      </w:r>
      <w:r>
        <w:rPr>
          <w:rFonts w:hint="eastAsia" w:ascii="仿宋_GB2312" w:eastAsia="仿宋_GB2312"/>
          <w:sz w:val="32"/>
          <w:szCs w:val="32"/>
        </w:rPr>
        <w:t>6</w:t>
      </w:r>
      <w:r>
        <w:rPr>
          <w:rFonts w:hint="eastAsia" w:ascii="仿宋_GB2312" w:hAnsi="黑体" w:eastAsia="仿宋_GB2312" w:cs="宋体"/>
          <w:bCs/>
          <w:kern w:val="0"/>
          <w:sz w:val="32"/>
          <w:szCs w:val="32"/>
        </w:rPr>
        <w:t>个处室，分别是：办公室、人事</w:t>
      </w:r>
      <w:r>
        <w:rPr>
          <w:rFonts w:hint="eastAsia" w:ascii="仿宋_GB2312" w:hAnsi="黑体" w:eastAsia="仿宋_GB2312" w:cs="宋体"/>
          <w:bCs/>
          <w:kern w:val="0"/>
          <w:sz w:val="32"/>
          <w:szCs w:val="32"/>
          <w:lang w:eastAsia="zh-CN"/>
        </w:rPr>
        <w:t>教育</w:t>
      </w:r>
      <w:r>
        <w:rPr>
          <w:rFonts w:hint="eastAsia" w:ascii="仿宋_GB2312" w:hAnsi="黑体" w:eastAsia="仿宋_GB2312" w:cs="宋体"/>
          <w:bCs/>
          <w:kern w:val="0"/>
          <w:sz w:val="32"/>
          <w:szCs w:val="32"/>
        </w:rPr>
        <w:t>处、监察室、土地执法</w:t>
      </w:r>
      <w:r>
        <w:rPr>
          <w:rFonts w:hint="eastAsia" w:ascii="仿宋_GB2312" w:hAnsi="黑体" w:eastAsia="仿宋_GB2312" w:cs="宋体"/>
          <w:bCs/>
          <w:kern w:val="0"/>
          <w:sz w:val="32"/>
          <w:szCs w:val="32"/>
          <w:lang w:eastAsia="zh-CN"/>
        </w:rPr>
        <w:t>监察</w:t>
      </w:r>
      <w:r>
        <w:rPr>
          <w:rFonts w:hint="eastAsia" w:ascii="仿宋_GB2312" w:hAnsi="黑体" w:eastAsia="仿宋_GB2312" w:cs="宋体"/>
          <w:bCs/>
          <w:kern w:val="0"/>
          <w:sz w:val="32"/>
          <w:szCs w:val="32"/>
        </w:rPr>
        <w:t>处、矿产执法</w:t>
      </w:r>
      <w:r>
        <w:rPr>
          <w:rFonts w:hint="eastAsia" w:ascii="仿宋_GB2312" w:hAnsi="黑体" w:eastAsia="仿宋_GB2312" w:cs="宋体"/>
          <w:bCs/>
          <w:kern w:val="0"/>
          <w:sz w:val="32"/>
          <w:szCs w:val="32"/>
          <w:lang w:eastAsia="zh-CN"/>
        </w:rPr>
        <w:t>监察</w:t>
      </w:r>
      <w:r>
        <w:rPr>
          <w:rFonts w:hint="eastAsia" w:ascii="仿宋_GB2312" w:hAnsi="黑体" w:eastAsia="仿宋_GB2312" w:cs="宋体"/>
          <w:bCs/>
          <w:kern w:val="0"/>
          <w:sz w:val="32"/>
          <w:szCs w:val="32"/>
        </w:rPr>
        <w:t>处、机关党委</w:t>
      </w:r>
      <w:r>
        <w:rPr>
          <w:rFonts w:hint="eastAsia" w:ascii="仿宋_GB2312" w:hAnsi="宋体" w:eastAsia="仿宋_GB2312" w:cs="宋体"/>
          <w:kern w:val="0"/>
          <w:sz w:val="32"/>
          <w:szCs w:val="32"/>
        </w:rPr>
        <w:t>。</w:t>
      </w:r>
    </w:p>
    <w:p w14:paraId="69524D66">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rPr>
        <w:t>纳入</w:t>
      </w:r>
      <w:r>
        <w:rPr>
          <w:rFonts w:hint="eastAsia" w:ascii="仿宋_GB2312" w:eastAsia="仿宋_GB2312"/>
          <w:color w:val="auto"/>
          <w:sz w:val="32"/>
          <w:szCs w:val="32"/>
          <w:highlight w:val="none"/>
          <w:lang w:eastAsia="zh-CN"/>
        </w:rPr>
        <w:t>自治区国土资源执法监察总队</w:t>
      </w: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rPr>
        <w:t>部门决算编制范围的</w:t>
      </w:r>
      <w:r>
        <w:rPr>
          <w:rFonts w:hint="eastAsia" w:ascii="仿宋_GB2312" w:eastAsia="仿宋_GB2312"/>
          <w:color w:val="auto"/>
          <w:spacing w:val="0"/>
          <w:sz w:val="32"/>
          <w:szCs w:val="32"/>
          <w:highlight w:val="none"/>
          <w:lang w:val="en-US" w:eastAsia="zh-CN"/>
        </w:rPr>
        <w:t>下属预算</w:t>
      </w:r>
      <w:r>
        <w:rPr>
          <w:rFonts w:hint="eastAsia" w:ascii="仿宋_GB2312" w:eastAsia="仿宋_GB2312"/>
          <w:color w:val="auto"/>
          <w:spacing w:val="0"/>
          <w:sz w:val="32"/>
          <w:szCs w:val="32"/>
          <w:highlight w:val="none"/>
        </w:rPr>
        <w:t>单位</w:t>
      </w:r>
      <w:r>
        <w:rPr>
          <w:rFonts w:hint="eastAsia" w:ascii="仿宋_GB2312" w:eastAsia="仿宋_GB2312"/>
          <w:color w:val="auto"/>
          <w:spacing w:val="0"/>
          <w:sz w:val="32"/>
          <w:szCs w:val="32"/>
          <w:highlight w:val="none"/>
          <w:lang w:val="en-US" w:eastAsia="zh-CN"/>
        </w:rPr>
        <w:t>包括</w:t>
      </w:r>
      <w:r>
        <w:rPr>
          <w:rFonts w:hint="eastAsia" w:ascii="仿宋_GB2312" w:eastAsia="仿宋_GB2312"/>
          <w:color w:val="auto"/>
          <w:spacing w:val="0"/>
          <w:sz w:val="32"/>
          <w:szCs w:val="32"/>
          <w:highlight w:val="none"/>
          <w:lang w:eastAsia="zh-CN"/>
        </w:rPr>
        <w:t>：</w:t>
      </w:r>
    </w:p>
    <w:p w14:paraId="03247B2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1</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乌鲁木齐县国土资源执法监察大队</w:t>
      </w:r>
    </w:p>
    <w:p w14:paraId="2D90509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w:t>
      </w:r>
      <w:r>
        <w:rPr>
          <w:rFonts w:hint="eastAsia" w:ascii="仿宋_GB2312" w:eastAsia="仿宋_GB2312"/>
          <w:color w:val="auto"/>
          <w:spacing w:val="0"/>
          <w:sz w:val="32"/>
          <w:szCs w:val="32"/>
          <w:highlight w:val="none"/>
          <w:lang w:eastAsia="zh-CN"/>
        </w:rPr>
        <w:tab/>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鲁木齐市米东区国土资源执法监察大队</w:t>
      </w:r>
    </w:p>
    <w:p w14:paraId="5383CC9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3</w:t>
      </w:r>
      <w:r>
        <w:rPr>
          <w:rFonts w:hint="eastAsia" w:ascii="仿宋_GB2312" w:eastAsia="仿宋_GB2312"/>
          <w:color w:val="auto"/>
          <w:spacing w:val="0"/>
          <w:sz w:val="32"/>
          <w:szCs w:val="32"/>
          <w:highlight w:val="none"/>
          <w:lang w:eastAsia="zh-CN"/>
        </w:rPr>
        <w:tab/>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乌鲁木齐市国土资源执法监察支队</w:t>
      </w:r>
    </w:p>
    <w:p w14:paraId="5BCDBE85">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4</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乌鲁木齐市国土资源执法监察支队（汇总）</w:t>
      </w:r>
    </w:p>
    <w:p w14:paraId="2D7EEC5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5</w:t>
      </w:r>
      <w:r>
        <w:rPr>
          <w:rFonts w:hint="eastAsia" w:ascii="仿宋_GB2312" w:eastAsia="仿宋_GB2312"/>
          <w:color w:val="auto"/>
          <w:spacing w:val="0"/>
          <w:sz w:val="32"/>
          <w:szCs w:val="32"/>
          <w:highlight w:val="none"/>
          <w:lang w:eastAsia="zh-CN"/>
        </w:rPr>
        <w:tab/>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克拉玛依市国土资源执法监察支队</w:t>
      </w:r>
    </w:p>
    <w:p w14:paraId="568FDD35">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6</w:t>
      </w:r>
      <w:r>
        <w:rPr>
          <w:rFonts w:hint="eastAsia" w:ascii="仿宋_GB2312" w:eastAsia="仿宋_GB2312"/>
          <w:color w:val="auto"/>
          <w:spacing w:val="0"/>
          <w:sz w:val="32"/>
          <w:szCs w:val="32"/>
          <w:highlight w:val="none"/>
          <w:lang w:eastAsia="zh-CN"/>
        </w:rPr>
        <w:tab/>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石河子市国土资源执法监察支队</w:t>
      </w:r>
    </w:p>
    <w:p w14:paraId="26A41C92">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7</w:t>
      </w:r>
      <w:r>
        <w:rPr>
          <w:rFonts w:hint="eastAsia" w:ascii="仿宋_GB2312" w:eastAsia="仿宋_GB2312"/>
          <w:color w:val="auto"/>
          <w:spacing w:val="0"/>
          <w:sz w:val="32"/>
          <w:szCs w:val="32"/>
          <w:highlight w:val="none"/>
          <w:lang w:eastAsia="zh-CN"/>
        </w:rPr>
        <w:tab/>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伊宁市国土资源执法监察大队</w:t>
      </w:r>
    </w:p>
    <w:p w14:paraId="362D75A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8</w:t>
      </w:r>
      <w:r>
        <w:rPr>
          <w:rFonts w:hint="eastAsia" w:ascii="仿宋_GB2312" w:eastAsia="仿宋_GB2312"/>
          <w:color w:val="auto"/>
          <w:spacing w:val="0"/>
          <w:sz w:val="32"/>
          <w:szCs w:val="32"/>
          <w:highlight w:val="none"/>
          <w:lang w:eastAsia="zh-CN"/>
        </w:rPr>
        <w:tab/>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伊宁县国土资源执法监察大队</w:t>
      </w:r>
    </w:p>
    <w:p w14:paraId="367F88E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9</w:t>
      </w:r>
      <w:r>
        <w:rPr>
          <w:rFonts w:hint="eastAsia" w:ascii="仿宋_GB2312" w:eastAsia="仿宋_GB2312"/>
          <w:color w:val="auto"/>
          <w:spacing w:val="0"/>
          <w:sz w:val="32"/>
          <w:szCs w:val="32"/>
          <w:highlight w:val="none"/>
          <w:lang w:eastAsia="zh-CN"/>
        </w:rPr>
        <w:tab/>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奎屯市国土资源执法监察大队</w:t>
      </w:r>
    </w:p>
    <w:p w14:paraId="13C90A0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10</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昭苏县国土资源执法监察大队</w:t>
      </w:r>
    </w:p>
    <w:p w14:paraId="59DC73C2">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11</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特克斯县国土资源执法监察大队</w:t>
      </w:r>
    </w:p>
    <w:p w14:paraId="003BB927">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12</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新源县国土资源执法监察大队</w:t>
      </w:r>
    </w:p>
    <w:p w14:paraId="53364805">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13</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巩留县国土资源执法监察大队</w:t>
      </w:r>
    </w:p>
    <w:p w14:paraId="41BF904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14</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尼勒克县国土资源执法监察大队</w:t>
      </w:r>
    </w:p>
    <w:p w14:paraId="058BA8E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15</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霍城县国土资源执法监察大队</w:t>
      </w:r>
    </w:p>
    <w:p w14:paraId="7782D20D">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16</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察布查尔锡伯自治县国土资源执法监察大队</w:t>
      </w:r>
    </w:p>
    <w:p w14:paraId="1CCA4CC4">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17</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伊犁哈萨克自治州国土资源执法监察支队(本级)</w:t>
      </w:r>
    </w:p>
    <w:p w14:paraId="48024434">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18</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霍尔果斯市国土资源执法监察大队</w:t>
      </w:r>
    </w:p>
    <w:p w14:paraId="3DED32E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19</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伊犁哈萨克自治州国土资源执法监察支队</w:t>
      </w:r>
    </w:p>
    <w:p w14:paraId="75680B6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昌吉市国土资源执法监察大队</w:t>
      </w:r>
    </w:p>
    <w:p w14:paraId="22A4A03D">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21</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玛纳斯县国土资源执法监察大队</w:t>
      </w:r>
    </w:p>
    <w:p w14:paraId="33761E9D">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22</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呼图壁县国土资源执法监察大队</w:t>
      </w:r>
    </w:p>
    <w:p w14:paraId="239B862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23</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奇台县国土资源执法监察大队</w:t>
      </w:r>
    </w:p>
    <w:p w14:paraId="436B69F6">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24</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阜康市国土资源执法监察大队</w:t>
      </w:r>
    </w:p>
    <w:p w14:paraId="30AD59A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25</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木垒哈萨克自治县国土资源执法监察大队</w:t>
      </w:r>
    </w:p>
    <w:p w14:paraId="5564613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26</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吉木萨尔县国土资源执法监察大队</w:t>
      </w:r>
    </w:p>
    <w:p w14:paraId="7539F21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27</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昌吉回族自治州国土资源执法监察支队</w:t>
      </w:r>
    </w:p>
    <w:p w14:paraId="738E8A0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28</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昌吉回族自治州国土资源执法监察支队</w:t>
      </w:r>
    </w:p>
    <w:p w14:paraId="22BC4FA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29</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博乐市国土资源执法监察大队</w:t>
      </w:r>
    </w:p>
    <w:p w14:paraId="5482D5D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30</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精河县国土资源执法监察大队</w:t>
      </w:r>
    </w:p>
    <w:p w14:paraId="68190EA2">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31</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温泉县国土资源执法监察大队</w:t>
      </w:r>
    </w:p>
    <w:p w14:paraId="65FE4F4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32</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阿拉山口市国土资源执法监察大队</w:t>
      </w:r>
    </w:p>
    <w:p w14:paraId="45E2112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33</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博尔塔拉蒙古自治州国土资源执法监察支队（本级）</w:t>
      </w:r>
    </w:p>
    <w:p w14:paraId="26588665">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34</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博尔塔拉蒙古自治州国土资源执法监察支队</w:t>
      </w:r>
    </w:p>
    <w:p w14:paraId="0225D15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35</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塔城市国土资源执法监察大队</w:t>
      </w:r>
    </w:p>
    <w:p w14:paraId="615C805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36</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沙湾市国土资源执法监察大队</w:t>
      </w:r>
    </w:p>
    <w:p w14:paraId="22D0BC3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37</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乌苏市国土资源执法监察大队</w:t>
      </w:r>
    </w:p>
    <w:p w14:paraId="2184515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38</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额敏县国土资源执法监察大队</w:t>
      </w:r>
    </w:p>
    <w:p w14:paraId="7814B13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39</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托里县国土资源执法监察大队</w:t>
      </w:r>
    </w:p>
    <w:p w14:paraId="0F2C863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40</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裕民县国土资源执法监察大队</w:t>
      </w:r>
    </w:p>
    <w:p w14:paraId="559B975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41</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和布克赛尔县国土资源执法监察大队</w:t>
      </w:r>
    </w:p>
    <w:p w14:paraId="01E62DF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42</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塔城地区国土资源执法监察支队</w:t>
      </w:r>
    </w:p>
    <w:p w14:paraId="44A09EB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43</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塔城地区国土资源执法监察支队</w:t>
      </w:r>
    </w:p>
    <w:p w14:paraId="6647752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44</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阿勒泰市国土资源执法监察大队</w:t>
      </w:r>
    </w:p>
    <w:p w14:paraId="3119C2A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45</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布尔津县国土资源执法监察大队</w:t>
      </w:r>
    </w:p>
    <w:p w14:paraId="351AE752">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46</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哈巴河县国土资源执法监察大队</w:t>
      </w:r>
    </w:p>
    <w:p w14:paraId="37E1D0E5">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47</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青河县国土资源执法监察大队</w:t>
      </w:r>
    </w:p>
    <w:p w14:paraId="7E80BCC4">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48</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富蕴县国土资源执法监察大队</w:t>
      </w:r>
    </w:p>
    <w:p w14:paraId="5901507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49</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福海县国土资源执法监察大队</w:t>
      </w:r>
    </w:p>
    <w:p w14:paraId="2F6E3E3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50</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吉木乃县国土资源执法监察大队</w:t>
      </w:r>
    </w:p>
    <w:p w14:paraId="7FBA23C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51</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阿勒泰地区国土资源执法监察支队(本级)</w:t>
      </w:r>
    </w:p>
    <w:p w14:paraId="1106636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52</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阿勒泰地区国土资源执法监察支队</w:t>
      </w:r>
    </w:p>
    <w:p w14:paraId="67B907E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53</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哈密市伊州区国土资源执法监察大队</w:t>
      </w:r>
    </w:p>
    <w:p w14:paraId="16B2750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54</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巴里坤哈萨克自治县国土资源执法监察大队</w:t>
      </w:r>
    </w:p>
    <w:p w14:paraId="6D393452">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55</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伊吾县国土资源执法监察大队</w:t>
      </w:r>
    </w:p>
    <w:p w14:paraId="3121E392">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56</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哈密市国土资源执法监察支队(本级)</w:t>
      </w:r>
    </w:p>
    <w:p w14:paraId="17E7A9E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57</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哈密市国土资源执法监察支队</w:t>
      </w:r>
    </w:p>
    <w:p w14:paraId="64940B6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58</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吐鲁番市高昌区国土资源执法监察大队</w:t>
      </w:r>
    </w:p>
    <w:p w14:paraId="2D5740B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59</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托克逊县国土资源执法监察大队</w:t>
      </w:r>
    </w:p>
    <w:p w14:paraId="7DBAE59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60</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鄯善县国土资源执法监察大队</w:t>
      </w:r>
    </w:p>
    <w:p w14:paraId="3B93C1E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61</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吐鲁番市国土资源执法监察支队（本级）</w:t>
      </w:r>
    </w:p>
    <w:p w14:paraId="450F9174">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62</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吐鲁番市国土资源执法监察支队</w:t>
      </w:r>
    </w:p>
    <w:p w14:paraId="5253C314">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63</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库尔勒市国土资源执法监察大队</w:t>
      </w:r>
    </w:p>
    <w:p w14:paraId="0D43F94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64</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和静县国土资源执法监察大队</w:t>
      </w:r>
    </w:p>
    <w:p w14:paraId="53EE76E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65</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和硕县国土资源执法监察大队</w:t>
      </w:r>
    </w:p>
    <w:p w14:paraId="050940E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66</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焉耆回族自治县国土资源执法监察大队</w:t>
      </w:r>
    </w:p>
    <w:p w14:paraId="69414D86">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67</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且末县国土资源执法监察大队</w:t>
      </w:r>
    </w:p>
    <w:p w14:paraId="75CCF9E2">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68</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尉犁县国土资源执法监察大队</w:t>
      </w:r>
    </w:p>
    <w:p w14:paraId="3E3E57E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69</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轮台县国土资源执法监察大队</w:t>
      </w:r>
    </w:p>
    <w:p w14:paraId="2FF281B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70</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博湖县国土资源执法监察大队</w:t>
      </w:r>
    </w:p>
    <w:p w14:paraId="04F00E7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71</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若羌县国土资源执法监察大队</w:t>
      </w:r>
    </w:p>
    <w:p w14:paraId="1C81BC0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72</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巴音郭楞蒙古自治州国土资源执法监察支队（本级）</w:t>
      </w:r>
    </w:p>
    <w:p w14:paraId="2E52A422">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73</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巴音郭楞蒙古自治州国土资源执法监察支队</w:t>
      </w:r>
    </w:p>
    <w:p w14:paraId="15D632E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74</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阿克苏市国土资源执法监察大队</w:t>
      </w:r>
    </w:p>
    <w:p w14:paraId="10E7B74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75</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温宿县国土资源执法监察大队</w:t>
      </w:r>
    </w:p>
    <w:p w14:paraId="3150046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76</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库车市国土资源执法监察大队</w:t>
      </w:r>
    </w:p>
    <w:p w14:paraId="3A79A74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77</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拜城县国土资源执法监察大队</w:t>
      </w:r>
    </w:p>
    <w:p w14:paraId="6EA60155">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78</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阿瓦提县国土资源执法监察大队</w:t>
      </w:r>
    </w:p>
    <w:p w14:paraId="5BA8F4F5">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79</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乌什县国土资源执法监察大队</w:t>
      </w:r>
    </w:p>
    <w:p w14:paraId="684B001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80</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沙雅县国土资源执法监察大队</w:t>
      </w:r>
    </w:p>
    <w:p w14:paraId="62D43F3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81</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新和县国土资源执法监察大队</w:t>
      </w:r>
    </w:p>
    <w:p w14:paraId="1EAC845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82</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柯坪县国土资源执法监察大队</w:t>
      </w:r>
    </w:p>
    <w:p w14:paraId="706A8FFD">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83</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阿克苏地区国土资源执法监察支队（本级）</w:t>
      </w:r>
    </w:p>
    <w:p w14:paraId="4B55A76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84</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阿克苏地区国土资源执法监察支队</w:t>
      </w:r>
    </w:p>
    <w:p w14:paraId="58C0F8A2">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85</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阿图什市国土资源执法监察大队</w:t>
      </w:r>
    </w:p>
    <w:p w14:paraId="07742F2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86</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乌恰县国土资源执法监察大队</w:t>
      </w:r>
    </w:p>
    <w:p w14:paraId="7B395E1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87</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阿合奇县国土资源执法监察大队</w:t>
      </w:r>
    </w:p>
    <w:p w14:paraId="5CD7E4D2">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88</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阿克陶县国土资源执法监察大队</w:t>
      </w:r>
    </w:p>
    <w:p w14:paraId="5CC8BCA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89</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克孜勒苏柯尔克孜自治州国土资源执法监察支队</w:t>
      </w:r>
    </w:p>
    <w:p w14:paraId="60D4263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90</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克孜勒苏柯尔克孜自治州国土资源执法监察支队</w:t>
      </w:r>
    </w:p>
    <w:p w14:paraId="1716D1E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91</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喀什市国土资源执法监察大队</w:t>
      </w:r>
    </w:p>
    <w:p w14:paraId="6281B6B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92</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疏勒县国土资源执法监察大队</w:t>
      </w:r>
    </w:p>
    <w:p w14:paraId="10B5CBC2">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93</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疏附县国土资源执法监察大队</w:t>
      </w:r>
    </w:p>
    <w:p w14:paraId="3A0F46B2">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94</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叶城县国土资源执法监察大队</w:t>
      </w:r>
    </w:p>
    <w:p w14:paraId="4287102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95</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英吉沙县国土资源执法监察大队</w:t>
      </w:r>
    </w:p>
    <w:p w14:paraId="7E4DED5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96</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莎车县国土资源执法监察大队</w:t>
      </w:r>
    </w:p>
    <w:p w14:paraId="4F2A11E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97</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麦盖提县国土资源执法监察大队</w:t>
      </w:r>
    </w:p>
    <w:p w14:paraId="0B11F89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98</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巴楚县国土资源执法监察大队</w:t>
      </w:r>
    </w:p>
    <w:p w14:paraId="4CF86B7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99</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塔什库尔干县国土资源执法监察大队</w:t>
      </w:r>
    </w:p>
    <w:p w14:paraId="2CAB62C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100</w:t>
      </w:r>
      <w:r>
        <w:rPr>
          <w:rFonts w:hint="eastAsia" w:ascii="仿宋_GB2312" w:eastAsia="仿宋_GB2312"/>
          <w:color w:val="auto"/>
          <w:spacing w:val="0"/>
          <w:sz w:val="32"/>
          <w:szCs w:val="32"/>
          <w:highlight w:val="none"/>
          <w:lang w:eastAsia="zh-CN"/>
        </w:rPr>
        <w:tab/>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伽师县国土资源执法监察大队</w:t>
      </w:r>
    </w:p>
    <w:p w14:paraId="6E3D6AC6">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101</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泽普县国土资源执法监察大队</w:t>
      </w:r>
    </w:p>
    <w:p w14:paraId="3D4C8DC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102</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岳普湖县国土资源执法监察大队</w:t>
      </w:r>
    </w:p>
    <w:p w14:paraId="4872EA1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103</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喀什地区国土资源执法监察支队（本级）</w:t>
      </w:r>
    </w:p>
    <w:p w14:paraId="7E9B3B9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104</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喀什地区国土资源执法监察支队</w:t>
      </w:r>
    </w:p>
    <w:p w14:paraId="3A421BB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105</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和田市国土资源执法监察大队</w:t>
      </w:r>
    </w:p>
    <w:p w14:paraId="6BC1C8BD">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106</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和田县国土资源执法监察大队</w:t>
      </w:r>
    </w:p>
    <w:p w14:paraId="74747BB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107</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皮山县国土资源执法监察大队</w:t>
      </w:r>
    </w:p>
    <w:p w14:paraId="58630E2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108</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墨玉县国土资源执法监察大队</w:t>
      </w:r>
    </w:p>
    <w:p w14:paraId="3192C876">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109</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民丰县国土资源执法监察大队</w:t>
      </w:r>
    </w:p>
    <w:p w14:paraId="4A0BECCD">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110</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洛浦县国土资源执法监察大队</w:t>
      </w:r>
    </w:p>
    <w:p w14:paraId="2AAE387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111</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策勒县国土资源执法监察大队</w:t>
      </w:r>
    </w:p>
    <w:p w14:paraId="6CA9508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112</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于田县国土资源执法监察大队</w:t>
      </w:r>
    </w:p>
    <w:p w14:paraId="30E7F31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113</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和田地区国土资源执法监察支队(本级）</w:t>
      </w:r>
    </w:p>
    <w:p w14:paraId="0A7A13B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114</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和田地区国土资源执法监察支队</w:t>
      </w:r>
    </w:p>
    <w:p w14:paraId="71932D6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115</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新疆维吾尔自治区国土资源执法监察总队（本级）</w:t>
      </w:r>
    </w:p>
    <w:p w14:paraId="51D0C1A4">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116</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自治区国土资源执法监察总队</w:t>
      </w:r>
    </w:p>
    <w:p w14:paraId="4EA659D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p>
    <w:p w14:paraId="0BBAF4C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D91E6F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6925C41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4C4D507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0D47352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758D642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0FFAEFB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4231FFF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5E3E088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19,916.18万元，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18,427.66万元，使用非财政拨款结余0.00万元，年初结转和结余1,488.53万元。</w:t>
      </w:r>
    </w:p>
    <w:p w14:paraId="4161B90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19,916.18万元，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18,994.34万元，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0.00万元，年末结转和结余921.84万元。</w:t>
      </w:r>
    </w:p>
    <w:p w14:paraId="4F502EC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增加193.48万元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增长0.98%，主要原因是：人员工资调资,人员经费预算增加。</w:t>
      </w:r>
    </w:p>
    <w:p w14:paraId="3D34B11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0876DD0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18,427.66</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18,401.35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99.86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26.30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0.14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5567AF4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26B4C5C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本年支出18,994.34万元，其中：基本支出14,062.96万元，占74.04%；项目支出4,931.38万元，占25.96%；上缴上级支出0.00万元，占0.00%；经营支出0.00万元，占0.00%；对附属单位补助支出0.00万元，占0.00%。</w:t>
      </w:r>
    </w:p>
    <w:p w14:paraId="768BFFA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2047FB1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18,948.40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547.05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18,401.35</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18,948.40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415.75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18,532.65</w:t>
      </w:r>
      <w:r>
        <w:rPr>
          <w:rFonts w:hint="eastAsia" w:ascii="仿宋_GB2312" w:eastAsia="仿宋_GB2312"/>
          <w:color w:val="auto"/>
          <w:spacing w:val="0"/>
          <w:sz w:val="32"/>
          <w:szCs w:val="32"/>
          <w:highlight w:val="none"/>
          <w:lang w:eastAsia="zh-CN"/>
        </w:rPr>
        <w:t>万元。</w:t>
      </w:r>
    </w:p>
    <w:p w14:paraId="4182308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增加984.14万元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增长5.48%,</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人员工资调资,人员经费预算增加。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16,698.37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18,948.40</w:t>
      </w:r>
      <w:r>
        <w:rPr>
          <w:rFonts w:hint="eastAsia" w:ascii="仿宋_GB2312" w:eastAsia="仿宋_GB2312"/>
          <w:color w:val="auto"/>
          <w:spacing w:val="0"/>
          <w:sz w:val="32"/>
          <w:szCs w:val="32"/>
          <w:highlight w:val="none"/>
          <w:lang w:eastAsia="zh-CN"/>
        </w:rPr>
        <w:t>万元，预决算差异率13.47%，主要原因是：年中追加人员绩效工资、</w:t>
      </w:r>
      <w:r>
        <w:rPr>
          <w:rFonts w:hint="eastAsia" w:ascii="仿宋_GB2312" w:eastAsia="仿宋_GB2312"/>
          <w:color w:val="auto"/>
          <w:spacing w:val="0"/>
          <w:sz w:val="32"/>
          <w:szCs w:val="32"/>
          <w:highlight w:val="none"/>
          <w:lang w:val="en-US" w:eastAsia="zh-CN"/>
        </w:rPr>
        <w:t>职业年金</w:t>
      </w:r>
      <w:r>
        <w:rPr>
          <w:rFonts w:hint="eastAsia" w:ascii="仿宋_GB2312" w:eastAsia="仿宋_GB2312"/>
          <w:color w:val="auto"/>
          <w:spacing w:val="0"/>
          <w:sz w:val="32"/>
          <w:szCs w:val="32"/>
          <w:highlight w:val="none"/>
          <w:lang w:eastAsia="zh-CN"/>
        </w:rPr>
        <w:t>。</w:t>
      </w:r>
    </w:p>
    <w:p w14:paraId="617223D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47C4C40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609D46E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2023年度一般公共预算财政拨款支出18,532.65万元，占本年支出合计的</w:t>
      </w:r>
      <w:r>
        <w:rPr>
          <w:rFonts w:hint="eastAsia" w:ascii="仿宋_GB2312" w:eastAsia="仿宋_GB2312"/>
          <w:color w:val="auto"/>
          <w:spacing w:val="0"/>
          <w:sz w:val="32"/>
          <w:szCs w:val="32"/>
          <w:highlight w:val="none"/>
          <w:lang w:val="zh-CN" w:eastAsia="zh-CN"/>
        </w:rPr>
        <w:t>97.57%</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增加1,115.44万元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增长6.40%,</w:t>
      </w:r>
      <w:r>
        <w:rPr>
          <w:rFonts w:hint="eastAsia" w:ascii="仿宋_GB2312" w:eastAsia="仿宋_GB2312"/>
          <w:color w:val="auto"/>
          <w:spacing w:val="0"/>
          <w:sz w:val="32"/>
          <w:szCs w:val="32"/>
          <w:highlight w:val="none"/>
          <w:lang w:val="zh-CN" w:eastAsia="zh-CN"/>
        </w:rPr>
        <w:t>主</w:t>
      </w:r>
      <w:r>
        <w:rPr>
          <w:rFonts w:hint="eastAsia" w:ascii="仿宋_GB2312" w:eastAsia="仿宋_GB2312"/>
          <w:color w:val="auto"/>
          <w:spacing w:val="0"/>
          <w:sz w:val="32"/>
          <w:szCs w:val="32"/>
          <w:highlight w:val="none"/>
          <w:lang w:eastAsia="zh-CN"/>
        </w:rPr>
        <w:t>要原因是：</w:t>
      </w:r>
      <w:r>
        <w:rPr>
          <w:rFonts w:hint="eastAsia" w:ascii="仿宋_GB2312" w:eastAsia="仿宋_GB2312"/>
          <w:color w:val="auto"/>
          <w:spacing w:val="0"/>
          <w:sz w:val="32"/>
          <w:szCs w:val="32"/>
          <w:highlight w:val="none"/>
          <w:lang w:val="en-US" w:eastAsia="zh-CN"/>
        </w:rPr>
        <w:t>人员工资调资,人员经费预算增加；追加的职业年金较上年有所增长</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16,698.37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18,532.65</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10.98%</w:t>
      </w:r>
      <w:r>
        <w:rPr>
          <w:rFonts w:hint="eastAsia" w:ascii="仿宋_GB2312" w:eastAsia="仿宋_GB2312"/>
          <w:color w:val="auto"/>
          <w:spacing w:val="0"/>
          <w:sz w:val="32"/>
          <w:szCs w:val="32"/>
          <w:highlight w:val="none"/>
          <w:lang w:eastAsia="zh-CN"/>
        </w:rPr>
        <w:t>，主要原因是：年中追加人员绩效工资、</w:t>
      </w:r>
      <w:r>
        <w:rPr>
          <w:rFonts w:hint="eastAsia" w:ascii="仿宋_GB2312" w:eastAsia="仿宋_GB2312"/>
          <w:color w:val="auto"/>
          <w:spacing w:val="0"/>
          <w:sz w:val="32"/>
          <w:szCs w:val="32"/>
          <w:highlight w:val="none"/>
          <w:lang w:val="en-US" w:eastAsia="zh-CN"/>
        </w:rPr>
        <w:t>职业年金</w:t>
      </w:r>
      <w:r>
        <w:rPr>
          <w:rFonts w:hint="eastAsia" w:ascii="仿宋_GB2312" w:eastAsia="仿宋_GB2312"/>
          <w:color w:val="auto"/>
          <w:spacing w:val="0"/>
          <w:sz w:val="32"/>
          <w:szCs w:val="32"/>
          <w:highlight w:val="none"/>
          <w:lang w:eastAsia="zh-CN"/>
        </w:rPr>
        <w:t>。</w:t>
      </w:r>
    </w:p>
    <w:p w14:paraId="27113F77">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619E86AF">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2,042.70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11.02</w:t>
      </w:r>
      <w:r>
        <w:rPr>
          <w:rFonts w:hint="default" w:ascii="仿宋_GB2312" w:hAnsi="Times New Roman" w:eastAsia="仿宋_GB2312" w:cs="Times New Roman"/>
          <w:color w:val="auto"/>
          <w:spacing w:val="0"/>
          <w:kern w:val="2"/>
          <w:sz w:val="32"/>
          <w:szCs w:val="32"/>
          <w:highlight w:val="none"/>
          <w:lang w:val="zh-CN" w:eastAsia="zh-CN" w:bidi="ar-SA"/>
        </w:rPr>
        <w:t>%；</w:t>
      </w:r>
    </w:p>
    <w:p w14:paraId="5BF6E01D">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1,048.04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5.66</w:t>
      </w:r>
      <w:r>
        <w:rPr>
          <w:rFonts w:hint="default" w:ascii="仿宋_GB2312" w:hAnsi="Times New Roman" w:eastAsia="仿宋_GB2312" w:cs="Times New Roman"/>
          <w:color w:val="auto"/>
          <w:spacing w:val="0"/>
          <w:kern w:val="2"/>
          <w:sz w:val="32"/>
          <w:szCs w:val="32"/>
          <w:highlight w:val="none"/>
          <w:lang w:val="zh-CN" w:eastAsia="zh-CN" w:bidi="ar-SA"/>
        </w:rPr>
        <w:t>%；</w:t>
      </w:r>
    </w:p>
    <w:p w14:paraId="3BEFE6B1">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节能环保支出（类）</w:t>
      </w:r>
      <w:r>
        <w:rPr>
          <w:rFonts w:hint="eastAsia" w:ascii="仿宋_GB2312" w:hAnsi="Times New Roman" w:eastAsia="仿宋_GB2312" w:cs="Times New Roman"/>
          <w:color w:val="auto"/>
          <w:spacing w:val="0"/>
          <w:kern w:val="2"/>
          <w:sz w:val="32"/>
          <w:szCs w:val="32"/>
          <w:highlight w:val="none"/>
          <w:lang w:val="zh-CN" w:eastAsia="zh-CN" w:bidi="ar-SA"/>
        </w:rPr>
        <w:t>3.62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0.02</w:t>
      </w:r>
      <w:r>
        <w:rPr>
          <w:rFonts w:hint="default" w:ascii="仿宋_GB2312" w:hAnsi="Times New Roman" w:eastAsia="仿宋_GB2312" w:cs="Times New Roman"/>
          <w:color w:val="auto"/>
          <w:spacing w:val="0"/>
          <w:kern w:val="2"/>
          <w:sz w:val="32"/>
          <w:szCs w:val="32"/>
          <w:highlight w:val="none"/>
          <w:lang w:val="zh-CN" w:eastAsia="zh-CN" w:bidi="ar-SA"/>
        </w:rPr>
        <w:t>%；</w:t>
      </w:r>
    </w:p>
    <w:p w14:paraId="14E5CED4">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14,603.39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78.80</w:t>
      </w:r>
      <w:r>
        <w:rPr>
          <w:rFonts w:hint="default" w:ascii="仿宋_GB2312" w:hAnsi="Times New Roman" w:eastAsia="仿宋_GB2312" w:cs="Times New Roman"/>
          <w:color w:val="auto"/>
          <w:spacing w:val="0"/>
          <w:kern w:val="2"/>
          <w:sz w:val="32"/>
          <w:szCs w:val="32"/>
          <w:highlight w:val="none"/>
          <w:lang w:val="zh-CN" w:eastAsia="zh-CN" w:bidi="ar-SA"/>
        </w:rPr>
        <w:t>%；</w:t>
      </w:r>
    </w:p>
    <w:p w14:paraId="5F9F9EC5">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834.90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4.51</w:t>
      </w:r>
      <w:r>
        <w:rPr>
          <w:rFonts w:hint="default" w:ascii="仿宋_GB2312" w:hAnsi="Times New Roman" w:eastAsia="仿宋_GB2312" w:cs="Times New Roman"/>
          <w:color w:val="auto"/>
          <w:spacing w:val="0"/>
          <w:kern w:val="2"/>
          <w:sz w:val="32"/>
          <w:szCs w:val="32"/>
          <w:highlight w:val="none"/>
          <w:lang w:val="zh-CN" w:eastAsia="zh-CN" w:bidi="ar-SA"/>
        </w:rPr>
        <w:t>%；</w:t>
      </w:r>
    </w:p>
    <w:p w14:paraId="17E020D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7A370DE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1.卫生健康支出（类）行政事业单位医疗（款）行政单位医疗（项）:支出决算数为560.42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63.50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12.78%，主要原因是：</w:t>
      </w:r>
      <w:r>
        <w:rPr>
          <w:rFonts w:hint="eastAsia" w:eastAsia="仿宋_GB2312" w:cs="Times New Roman"/>
          <w:color w:val="auto"/>
          <w:kern w:val="2"/>
          <w:sz w:val="32"/>
          <w:szCs w:val="32"/>
          <w:highlight w:val="none"/>
          <w:lang w:val="en-US" w:eastAsia="zh-CN" w:bidi="ar-SA"/>
        </w:rPr>
        <w:t>测算基数增加，医疗缴费预算增加</w:t>
      </w:r>
      <w:r>
        <w:rPr>
          <w:rFonts w:hint="eastAsia" w:eastAsia="仿宋_GB2312" w:cs="Times New Roman"/>
          <w:color w:val="auto"/>
          <w:kern w:val="2"/>
          <w:sz w:val="32"/>
          <w:szCs w:val="32"/>
          <w:highlight w:val="none"/>
          <w:lang w:val="zh-CN" w:eastAsia="zh-CN" w:bidi="ar-SA"/>
        </w:rPr>
        <w:t>。</w:t>
      </w:r>
    </w:p>
    <w:p w14:paraId="183ADA4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2.卫生健康支出（类）行政事业单位医疗（款）公务员医疗补助（项）:支出决算数为487.62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101.13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26.16%，主要原因是：</w:t>
      </w:r>
      <w:r>
        <w:rPr>
          <w:rFonts w:hint="eastAsia" w:eastAsia="仿宋_GB2312" w:cs="Times New Roman"/>
          <w:color w:val="auto"/>
          <w:kern w:val="2"/>
          <w:sz w:val="32"/>
          <w:szCs w:val="32"/>
          <w:highlight w:val="none"/>
          <w:lang w:val="en-US" w:eastAsia="zh-CN" w:bidi="ar-SA"/>
        </w:rPr>
        <w:t>测算基数增加，年初预算增加</w:t>
      </w:r>
      <w:r>
        <w:rPr>
          <w:rFonts w:hint="eastAsia" w:eastAsia="仿宋_GB2312" w:cs="Times New Roman"/>
          <w:color w:val="auto"/>
          <w:kern w:val="2"/>
          <w:sz w:val="32"/>
          <w:szCs w:val="32"/>
          <w:highlight w:val="none"/>
          <w:lang w:val="zh-CN" w:eastAsia="zh-CN" w:bidi="ar-SA"/>
        </w:rPr>
        <w:t>。</w:t>
      </w:r>
    </w:p>
    <w:p w14:paraId="0EDB44C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3.自然资源海洋气象等支出（类）自然资源事务（款）其他自然资源事务支出（项）:支出决算数为4,931.30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142.75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2.98%，主要原因是：</w:t>
      </w:r>
      <w:r>
        <w:rPr>
          <w:rFonts w:hint="eastAsia" w:eastAsia="仿宋_GB2312" w:cs="Times New Roman"/>
          <w:color w:val="auto"/>
          <w:kern w:val="2"/>
          <w:sz w:val="32"/>
          <w:szCs w:val="32"/>
          <w:highlight w:val="none"/>
          <w:lang w:val="en-US" w:eastAsia="zh-CN" w:bidi="ar-SA"/>
        </w:rPr>
        <w:t>加大执法工作力度，执法办案成本性支出增加</w:t>
      </w:r>
      <w:r>
        <w:rPr>
          <w:rFonts w:hint="eastAsia" w:eastAsia="仿宋_GB2312" w:cs="Times New Roman"/>
          <w:color w:val="auto"/>
          <w:kern w:val="2"/>
          <w:sz w:val="32"/>
          <w:szCs w:val="32"/>
          <w:highlight w:val="none"/>
          <w:lang w:val="zh-CN" w:eastAsia="zh-CN" w:bidi="ar-SA"/>
        </w:rPr>
        <w:t>。</w:t>
      </w:r>
    </w:p>
    <w:p w14:paraId="5535174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4.自然资源海洋气象等支出（类）自然资源事务（款）行政运行（项）:支出决算数为9,672.08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221.29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2.34%，主要原因是：</w:t>
      </w:r>
      <w:r>
        <w:rPr>
          <w:rFonts w:hint="eastAsia" w:ascii="仿宋_GB2312" w:eastAsia="仿宋_GB2312"/>
          <w:color w:val="auto"/>
          <w:spacing w:val="0"/>
          <w:sz w:val="32"/>
          <w:szCs w:val="32"/>
          <w:highlight w:val="none"/>
          <w:lang w:val="en-US" w:eastAsia="zh-CN"/>
        </w:rPr>
        <w:t>人员工资调资,人员经费预算增加</w:t>
      </w:r>
      <w:r>
        <w:rPr>
          <w:rFonts w:hint="eastAsia" w:eastAsia="仿宋_GB2312" w:cs="Times New Roman"/>
          <w:color w:val="auto"/>
          <w:kern w:val="2"/>
          <w:sz w:val="32"/>
          <w:szCs w:val="32"/>
          <w:highlight w:val="none"/>
          <w:lang w:val="zh-CN" w:eastAsia="zh-CN" w:bidi="ar-SA"/>
        </w:rPr>
        <w:t>。</w:t>
      </w:r>
    </w:p>
    <w:p w14:paraId="5454B5F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5.住房保障支出（类）住房改革支出（款）住房公积金（项）:支出决算数为834.90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147.98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21.54%，主要原因是：</w:t>
      </w:r>
      <w:r>
        <w:rPr>
          <w:rFonts w:hint="eastAsia" w:eastAsia="仿宋_GB2312" w:cs="Times New Roman"/>
          <w:color w:val="auto"/>
          <w:kern w:val="2"/>
          <w:sz w:val="32"/>
          <w:szCs w:val="32"/>
          <w:highlight w:val="none"/>
          <w:lang w:val="en-US" w:eastAsia="zh-CN" w:bidi="ar-SA"/>
        </w:rPr>
        <w:t>测算基数增加，年初预算增加</w:t>
      </w:r>
      <w:r>
        <w:rPr>
          <w:rFonts w:hint="eastAsia" w:eastAsia="仿宋_GB2312" w:cs="Times New Roman"/>
          <w:color w:val="auto"/>
          <w:kern w:val="2"/>
          <w:sz w:val="32"/>
          <w:szCs w:val="32"/>
          <w:highlight w:val="none"/>
          <w:lang w:val="zh-CN" w:eastAsia="zh-CN" w:bidi="ar-SA"/>
        </w:rPr>
        <w:t>。</w:t>
      </w:r>
    </w:p>
    <w:p w14:paraId="693F641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6.节能环保支出（类）环境保护管理事务（款）行政运行（项）:支出决算数为3.62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预算申报时，选错功能科目。</w:t>
      </w:r>
    </w:p>
    <w:p w14:paraId="25C6E6F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7.社会保障和就业支出（类）行政事业单位养老支出（款）行政单位离退休（项）:支出决算数为557.77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67.77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10.83%，主要原因是：</w:t>
      </w:r>
      <w:r>
        <w:rPr>
          <w:rFonts w:hint="eastAsia" w:eastAsia="仿宋_GB2312" w:cs="Times New Roman"/>
          <w:color w:val="auto"/>
          <w:kern w:val="2"/>
          <w:sz w:val="32"/>
          <w:szCs w:val="32"/>
          <w:highlight w:val="none"/>
          <w:lang w:val="zh-CN" w:eastAsia="zh-CN" w:bidi="ar-SA"/>
        </w:rPr>
        <w:t>根据政策，减少退休人员医疗补助缴费预算。</w:t>
      </w:r>
    </w:p>
    <w:p w14:paraId="44A7C48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8.社会保障和就业支出（类）行政事业单位养老支出（款）机关事业单位职业年金缴费支出（项）:支出决算数为401.79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344.38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599.89%，主要原因是：</w:t>
      </w:r>
      <w:r>
        <w:rPr>
          <w:rFonts w:hint="eastAsia" w:eastAsia="仿宋_GB2312" w:cs="Times New Roman"/>
          <w:color w:val="auto"/>
          <w:kern w:val="2"/>
          <w:sz w:val="32"/>
          <w:szCs w:val="32"/>
          <w:highlight w:val="none"/>
          <w:lang w:val="zh-CN" w:eastAsia="zh-CN" w:bidi="ar-SA"/>
        </w:rPr>
        <w:t>本年年中退休人员增加，追加职业年金缴费增加。</w:t>
      </w:r>
    </w:p>
    <w:p w14:paraId="7024F54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9.社会保障和就业支出（类）行政事业单位养老支出（款）机关事业单位基本养老保险缴费支出（项）:支出决算数为1,083.14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195.72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22.05%，主要原因是：</w:t>
      </w:r>
      <w:r>
        <w:rPr>
          <w:rFonts w:hint="eastAsia" w:eastAsia="仿宋_GB2312" w:cs="Times New Roman"/>
          <w:color w:val="auto"/>
          <w:kern w:val="2"/>
          <w:sz w:val="32"/>
          <w:szCs w:val="32"/>
          <w:highlight w:val="none"/>
          <w:lang w:val="zh-CN" w:eastAsia="zh-CN" w:bidi="ar-SA"/>
        </w:rPr>
        <w:t>缴费基数调增，缴费支出增加。</w:t>
      </w:r>
    </w:p>
    <w:p w14:paraId="1B2D276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10.卫生健康支出（类）卫生健康管理事务（款）行政运行（项）:支出决算数为0.00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1.16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调整上年预算使用错误功能科目。</w:t>
      </w:r>
    </w:p>
    <w:p w14:paraId="3064E44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11.自然资源海洋气象等支出（类）自然资源事务（款）事业运行（项）:支出决算数为0.00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36.00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调整上年拨付的访惠聚工作经费功能科。</w:t>
      </w:r>
    </w:p>
    <w:p w14:paraId="04CD808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4B9539E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13,601.35</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12,700.07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机关事业单位基本养老保险缴费、职业年金缴费、职工基本医疗保险缴费、公务员医疗补助缴费、其他社会保障缴费、住房公积金、其他工资福利支出、退休费、抚恤金、生活补助、医疗费补助、奖励金、其他对个人和家庭的补助。</w:t>
      </w:r>
    </w:p>
    <w:p w14:paraId="1EC2086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901.28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办公费、手续费、水费、电费、邮电费、取暖费、物业管理费、差旅费、维修（护）费、租赁费、专用材料费、劳务费、委托业务费、工会经费、福利费、其他交通费用、其他商品和服务支出。</w:t>
      </w:r>
    </w:p>
    <w:p w14:paraId="02AC22A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313F84C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“三公”经费支出17.40万元，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减少0.02万元，</w:t>
      </w:r>
      <w:r>
        <w:rPr>
          <w:rFonts w:hint="eastAsia" w:ascii="仿宋_GB2312" w:eastAsia="仿宋_GB2312"/>
          <w:color w:val="auto"/>
          <w:sz w:val="32"/>
          <w:szCs w:val="32"/>
          <w:highlight w:val="none"/>
          <w:lang w:val="en-US" w:eastAsia="zh-CN"/>
        </w:rPr>
        <w:t>下降0.10%,</w:t>
      </w:r>
      <w:r>
        <w:rPr>
          <w:rFonts w:hint="eastAsia" w:ascii="仿宋_GB2312" w:eastAsia="仿宋_GB2312"/>
          <w:color w:val="auto"/>
          <w:sz w:val="32"/>
          <w:szCs w:val="32"/>
          <w:highlight w:val="none"/>
          <w:lang w:val="zh-CN" w:eastAsia="zh-CN"/>
        </w:rPr>
        <w:t>主要原因是：厉行勤俭节约，压减经费支出。其中：因公出国（境）费支出0.00万元，占0.00%，比上年增加0.00万元，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主要原因是：本年无因公出国（境）支出；公务用车购置及运行维护费支出17.40万元，占100.00%，比上年减少0.02万元，</w:t>
      </w:r>
      <w:r>
        <w:rPr>
          <w:rFonts w:hint="eastAsia" w:ascii="仿宋_GB2312" w:eastAsia="仿宋_GB2312"/>
          <w:color w:val="auto"/>
          <w:sz w:val="32"/>
          <w:szCs w:val="32"/>
          <w:highlight w:val="none"/>
          <w:lang w:val="en-US" w:eastAsia="zh-CN"/>
        </w:rPr>
        <w:t>下降0.10%,</w:t>
      </w:r>
      <w:r>
        <w:rPr>
          <w:rFonts w:hint="eastAsia" w:ascii="仿宋_GB2312" w:eastAsia="仿宋_GB2312"/>
          <w:color w:val="auto"/>
          <w:sz w:val="32"/>
          <w:szCs w:val="32"/>
          <w:highlight w:val="none"/>
          <w:lang w:val="zh-CN" w:eastAsia="zh-CN"/>
        </w:rPr>
        <w:t>主要原因是：厉行勤俭节约，压减经费支出；公务接待费支出0.00万元，占0.00%，比上年增加0.00万元，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主要原因是：本年无公务接待费支出。</w:t>
      </w:r>
    </w:p>
    <w:p w14:paraId="4259FC8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7BE5589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因公出国（境）费支出0.00万元，开支内容包括本年无因公出国（境）支出。单位全年安排的因公出国（境）团组0个，因公出国（境）0人次。</w:t>
      </w:r>
    </w:p>
    <w:p w14:paraId="4B813D9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公务用车购置及运行维护费17.40万元，其中：公务用车购置费0.00万元，公务用车运行维护费17.40万元。公务用车运行维护费开支内容包括</w:t>
      </w:r>
      <w:r>
        <w:rPr>
          <w:rFonts w:hint="eastAsia" w:ascii="仿宋_GB2312" w:eastAsia="仿宋_GB2312"/>
          <w:sz w:val="32"/>
          <w:szCs w:val="32"/>
        </w:rPr>
        <w:t>公务用车的燃料费，保险费，过路费，维修费，停车费等相关费用</w:t>
      </w:r>
      <w:r>
        <w:rPr>
          <w:rFonts w:hint="eastAsia" w:ascii="仿宋_GB2312" w:eastAsia="仿宋_GB2312"/>
          <w:color w:val="auto"/>
          <w:sz w:val="32"/>
          <w:szCs w:val="32"/>
          <w:highlight w:val="none"/>
          <w:lang w:val="zh-CN" w:eastAsia="zh-CN"/>
        </w:rPr>
        <w:t>。公务用车购置数0辆，公务用车保有量8辆。国有资产占用情况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224辆，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原因是：其余车辆为执法执勤用车。</w:t>
      </w:r>
    </w:p>
    <w:p w14:paraId="4397780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公务接待费0.00万元，开支内容包括本年无公务接待费。单位全年安排的国内公务接待0批次，0人次。</w:t>
      </w:r>
    </w:p>
    <w:p w14:paraId="42D1D1B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预算数17.40万元，决算数17.40万元，预决算差异率0.00%，主要原因是：本年无差异。其中：因公出国（境）费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0.00万元，决算数0.00万元，预决算差异率0.00%，主要原因是：本年无差异；公务用车购置费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预算数0.00万元，决算数0.00万元，预决算差异率0.00%，主要原因是：本年无差异；公务用车运行费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预算数17.40万元，决算数17.40万元，预决算差异率0.00%，主要原因是：本年无差异；公务接待费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预算数0.00万元，决算数0.00万元，预决算差异率0.00%，主要原因是：本年无差异。</w:t>
      </w:r>
    </w:p>
    <w:p w14:paraId="7805CFE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659305F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eastAsia="zh-CN"/>
        </w:rPr>
        <w:t>情况一：本年度无政府性基金预算财政拨款收入、支出</w:t>
      </w:r>
      <w:r>
        <w:rPr>
          <w:rFonts w:hint="eastAsia" w:ascii="仿宋_GB2312" w:eastAsia="仿宋_GB2312"/>
          <w:b/>
          <w:bCs/>
          <w:color w:val="auto"/>
          <w:sz w:val="32"/>
          <w:szCs w:val="32"/>
          <w:highlight w:val="none"/>
          <w:lang w:val="en-US" w:eastAsia="zh-CN"/>
        </w:rPr>
        <w:t>及结转和结余</w:t>
      </w:r>
      <w:r>
        <w:rPr>
          <w:rFonts w:hint="eastAsia" w:ascii="仿宋_GB2312" w:eastAsia="仿宋_GB2312"/>
          <w:b/>
          <w:bCs/>
          <w:color w:val="auto"/>
          <w:sz w:val="32"/>
          <w:szCs w:val="32"/>
          <w:highlight w:val="none"/>
          <w:lang w:eastAsia="zh-CN"/>
        </w:rPr>
        <w:t>的单位，必须公开空表，同时做</w:t>
      </w:r>
      <w:r>
        <w:rPr>
          <w:rFonts w:hint="eastAsia" w:ascii="仿宋_GB2312" w:eastAsia="仿宋_GB2312"/>
          <w:b/>
          <w:bCs/>
          <w:color w:val="auto"/>
          <w:sz w:val="32"/>
          <w:szCs w:val="32"/>
          <w:highlight w:val="none"/>
          <w:lang w:val="en-US" w:eastAsia="zh-CN"/>
        </w:rPr>
        <w:t>如下</w:t>
      </w:r>
      <w:r>
        <w:rPr>
          <w:rFonts w:hint="eastAsia" w:ascii="仿宋_GB2312" w:eastAsia="仿宋_GB2312"/>
          <w:b/>
          <w:bCs/>
          <w:color w:val="auto"/>
          <w:sz w:val="32"/>
          <w:szCs w:val="32"/>
          <w:highlight w:val="none"/>
          <w:lang w:eastAsia="zh-CN"/>
        </w:rPr>
        <w:t>说明：</w:t>
      </w:r>
    </w:p>
    <w:p w14:paraId="75E4A3F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01E177C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5C6ECC5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eastAsia="zh-CN"/>
        </w:rPr>
        <w:t>情况一：本年度无国有资本经营预算财政拨款收入、支出</w:t>
      </w:r>
      <w:r>
        <w:rPr>
          <w:rFonts w:hint="eastAsia" w:ascii="仿宋_GB2312" w:eastAsia="仿宋_GB2312"/>
          <w:b/>
          <w:bCs/>
          <w:color w:val="auto"/>
          <w:sz w:val="32"/>
          <w:szCs w:val="32"/>
          <w:highlight w:val="none"/>
          <w:lang w:val="en-US" w:eastAsia="zh-CN"/>
        </w:rPr>
        <w:t>及结转和结余</w:t>
      </w:r>
      <w:r>
        <w:rPr>
          <w:rFonts w:hint="eastAsia" w:ascii="仿宋_GB2312" w:eastAsia="仿宋_GB2312"/>
          <w:b/>
          <w:bCs/>
          <w:color w:val="auto"/>
          <w:sz w:val="32"/>
          <w:szCs w:val="32"/>
          <w:highlight w:val="none"/>
          <w:lang w:eastAsia="zh-CN"/>
        </w:rPr>
        <w:t>的单位，必须公开空表，同时做</w:t>
      </w:r>
      <w:r>
        <w:rPr>
          <w:rFonts w:hint="eastAsia" w:ascii="仿宋_GB2312" w:eastAsia="仿宋_GB2312"/>
          <w:b/>
          <w:bCs/>
          <w:color w:val="auto"/>
          <w:sz w:val="32"/>
          <w:szCs w:val="32"/>
          <w:highlight w:val="none"/>
          <w:lang w:val="en-US" w:eastAsia="zh-CN"/>
        </w:rPr>
        <w:t>如下</w:t>
      </w:r>
      <w:r>
        <w:rPr>
          <w:rFonts w:hint="eastAsia" w:ascii="仿宋_GB2312" w:eastAsia="仿宋_GB2312"/>
          <w:b/>
          <w:bCs/>
          <w:color w:val="auto"/>
          <w:sz w:val="32"/>
          <w:szCs w:val="32"/>
          <w:highlight w:val="none"/>
          <w:lang w:eastAsia="zh-CN"/>
        </w:rPr>
        <w:t>说明：</w:t>
      </w:r>
    </w:p>
    <w:p w14:paraId="2C717C6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4959B7F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1E7620F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0A68210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自治区国土资源执法监察总队（行政单位和参照公务员法管理事业单位）机关运行经费支出901.28万元，比上年增加27.78万元，增长3.18%,主要原因是：</w:t>
      </w:r>
      <w:r>
        <w:rPr>
          <w:rFonts w:hint="eastAsia" w:eastAsia="仿宋_GB2312" w:cs="Times New Roman"/>
          <w:color w:val="auto"/>
          <w:sz w:val="32"/>
          <w:szCs w:val="32"/>
          <w:highlight w:val="none"/>
          <w:lang w:val="en-US" w:eastAsia="zh-CN"/>
        </w:rPr>
        <w:t>强化内部管理，加大执法力度，日常运转经费增加</w:t>
      </w:r>
      <w:r>
        <w:rPr>
          <w:rFonts w:hint="eastAsia" w:ascii="Times New Roman" w:hAnsi="Times New Roman" w:eastAsia="仿宋_GB2312" w:cs="Times New Roman"/>
          <w:color w:val="auto"/>
          <w:sz w:val="32"/>
          <w:szCs w:val="32"/>
          <w:highlight w:val="none"/>
          <w:lang w:val="en-US" w:eastAsia="zh-CN"/>
        </w:rPr>
        <w:t>。</w:t>
      </w:r>
    </w:p>
    <w:p w14:paraId="03F3739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5B7EFF0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191.84万元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其中：政府采购货物支出7.59万元、政府采购工程支出0.00万元、政府采购服务支出184.25万元。</w:t>
      </w:r>
    </w:p>
    <w:p w14:paraId="1B1E2C6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授予中小企业合同金额191.84万元，占政府采购支出总额的100.00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，其中：授予小微企业合同金额191.84万元，占政府采购支出总额的100.00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02564C2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34F3688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14,246.40</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屋12366.72平方米，价值4,797.81万元。车辆224辆，价值4,725.85万元，其中：副部（省）级及以上领导用车0辆、主要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用车0辆、机要通信用车0辆、应急保障用车0辆、执法执勤用车117辆、特种专业技术用车0辆、离退休干部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用车0辆、其他用车107辆，其他用车主要是：</w:t>
      </w:r>
      <w:r>
        <w:rPr>
          <w:rFonts w:hint="eastAsia" w:eastAsia="仿宋_GB2312" w:cs="Times New Roman"/>
          <w:color w:val="auto"/>
          <w:sz w:val="32"/>
          <w:szCs w:val="32"/>
          <w:highlight w:val="none"/>
          <w:lang w:val="zh-CN" w:eastAsia="zh-CN"/>
        </w:rPr>
        <w:t>用于运送临时扣押设备、物品的皮卡车</w:t>
      </w:r>
      <w:r>
        <w:rPr>
          <w:rFonts w:hint="eastAsia" w:ascii="Times New Roman" w:hAnsi="Times New Roman" w:eastAsia="仿宋_GB2312" w:cs="Times New Roman"/>
          <w:color w:val="auto"/>
          <w:sz w:val="32"/>
          <w:szCs w:val="32"/>
          <w:highlight w:val="none"/>
          <w:lang w:val="zh-CN" w:eastAsia="zh-CN"/>
        </w:rPr>
        <w:t>；单价100万元（含）以上设备（不含车辆）2</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27041BC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5872B155">
      <w:pPr>
        <w:spacing w:line="520" w:lineRule="exact"/>
        <w:ind w:firstLine="640" w:firstLineChars="200"/>
        <w:rPr>
          <w:rFonts w:hint="eastAsia" w:ascii="仿宋_GB2312" w:hAnsi="仿宋" w:eastAsia="仿宋_GB2312"/>
          <w:sz w:val="32"/>
          <w:szCs w:val="32"/>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预算总额4780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实际执行总额4384.25</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全年预算数4780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全年执行数4384.25</w:t>
      </w:r>
      <w:bookmarkStart w:id="48" w:name="_GoBack"/>
      <w:bookmarkEnd w:id="48"/>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hAnsi="仿宋_GB2312" w:eastAsia="仿宋_GB2312" w:cs="仿宋_GB2312"/>
          <w:sz w:val="32"/>
          <w:szCs w:val="32"/>
          <w:lang w:val="en-US" w:eastAsia="zh-CN"/>
        </w:rPr>
        <w:t xml:space="preserve"> 一是落实</w:t>
      </w:r>
      <w:r>
        <w:rPr>
          <w:rFonts w:hint="eastAsia" w:ascii="仿宋_GB2312" w:hAnsi="仿宋" w:eastAsia="仿宋_GB2312"/>
          <w:sz w:val="32"/>
          <w:szCs w:val="32"/>
        </w:rPr>
        <w:t>全面实施预算绩效管理</w:t>
      </w:r>
      <w:r>
        <w:rPr>
          <w:rFonts w:hint="eastAsia" w:ascii="仿宋_GB2312" w:hAnsi="仿宋" w:eastAsia="仿宋_GB2312"/>
          <w:sz w:val="32"/>
          <w:szCs w:val="32"/>
          <w:lang w:eastAsia="zh-CN"/>
        </w:rPr>
        <w:t>。</w:t>
      </w:r>
      <w:r>
        <w:rPr>
          <w:rFonts w:hint="eastAsia" w:ascii="仿宋_GB2312" w:hAnsi="仿宋" w:eastAsia="仿宋_GB2312"/>
          <w:kern w:val="0"/>
          <w:sz w:val="32"/>
          <w:szCs w:val="32"/>
        </w:rPr>
        <w:t>各级国土资源执法监察机构全面实施绩效管理</w:t>
      </w:r>
      <w:r>
        <w:rPr>
          <w:rFonts w:hint="eastAsia" w:ascii="仿宋_GB2312" w:hAnsi="仿宋" w:eastAsia="仿宋_GB2312"/>
          <w:color w:val="333333"/>
          <w:spacing w:val="2"/>
          <w:sz w:val="32"/>
          <w:szCs w:val="32"/>
        </w:rPr>
        <w:t>，</w:t>
      </w:r>
      <w:r>
        <w:rPr>
          <w:rFonts w:hint="eastAsia" w:ascii="仿宋_GB2312" w:hAnsi="仿宋" w:eastAsia="仿宋_GB2312"/>
          <w:kern w:val="0"/>
          <w:sz w:val="32"/>
          <w:szCs w:val="32"/>
        </w:rPr>
        <w:t>杜绝低效无效支出，节约成本，硬化责任约束，做到花钱必问效，</w:t>
      </w:r>
      <w:r>
        <w:rPr>
          <w:rFonts w:hint="eastAsia" w:ascii="仿宋_GB2312" w:hAnsi="仿宋" w:eastAsia="仿宋_GB2312"/>
          <w:color w:val="333333"/>
          <w:spacing w:val="2"/>
          <w:sz w:val="32"/>
          <w:szCs w:val="32"/>
        </w:rPr>
        <w:t>无效必问责。</w:t>
      </w:r>
      <w:r>
        <w:rPr>
          <w:rFonts w:hint="eastAsia" w:ascii="仿宋_GB2312" w:hAnsi="仿宋" w:eastAsia="仿宋_GB2312"/>
          <w:kern w:val="0"/>
          <w:sz w:val="32"/>
          <w:szCs w:val="32"/>
        </w:rPr>
        <w:t>实现绩效目标管理与预算管理的深度融合。按照“谁申请资金，谁设定目标”的原则，总队各处室、各支队、各大队当根据年度拟实施项目情况，科学合理设置绩效考核指标，切实把绩效理念和方法深度融入预算编制、执行和监督的全过程，绩效评价的结果应当作为编制下年度部门预算的重要依据。根据绩效管理工作要求，每月月底对各机构预算执行情况进行统计，掌握项目执行进度，做好绩效目标监控工作。</w:t>
      </w:r>
      <w:r>
        <w:rPr>
          <w:rFonts w:hint="eastAsia" w:ascii="仿宋_GB2312" w:hAnsi="仿宋" w:eastAsia="仿宋_GB2312"/>
          <w:kern w:val="0"/>
          <w:sz w:val="32"/>
          <w:szCs w:val="32"/>
          <w:lang w:val="en-US" w:eastAsia="zh-CN"/>
        </w:rPr>
        <w:t>二是做到</w:t>
      </w:r>
      <w:r>
        <w:rPr>
          <w:rFonts w:hint="eastAsia" w:ascii="仿宋_GB2312" w:hAnsi="仿宋" w:eastAsia="仿宋_GB2312"/>
          <w:kern w:val="0"/>
          <w:sz w:val="32"/>
          <w:szCs w:val="32"/>
        </w:rPr>
        <w:t>严把资金支出关</w:t>
      </w:r>
      <w:r>
        <w:rPr>
          <w:rFonts w:hint="eastAsia" w:ascii="仿宋_GB2312" w:hAnsi="仿宋" w:eastAsia="仿宋_GB2312"/>
          <w:kern w:val="0"/>
          <w:sz w:val="32"/>
          <w:szCs w:val="32"/>
          <w:lang w:eastAsia="zh-CN"/>
        </w:rPr>
        <w:t>。</w:t>
      </w:r>
      <w:r>
        <w:rPr>
          <w:rFonts w:hint="eastAsia" w:ascii="仿宋_GB2312" w:hAnsi="仿宋" w:eastAsia="仿宋_GB2312"/>
          <w:kern w:val="0"/>
          <w:sz w:val="32"/>
          <w:szCs w:val="32"/>
        </w:rPr>
        <w:t>严格执行财政资金支付有关规定，修订《</w:t>
      </w:r>
      <w:r>
        <w:rPr>
          <w:rFonts w:hint="eastAsia" w:ascii="仿宋_GB2312" w:hAnsi="仿宋" w:eastAsia="仿宋_GB2312"/>
          <w:sz w:val="32"/>
          <w:szCs w:val="32"/>
        </w:rPr>
        <w:t>自治区国土资源执法监察机构财务管理办法</w:t>
      </w:r>
      <w:r>
        <w:rPr>
          <w:rFonts w:hint="eastAsia" w:ascii="仿宋_GB2312" w:hAnsi="仿宋" w:eastAsia="仿宋_GB2312"/>
          <w:kern w:val="0"/>
          <w:sz w:val="32"/>
          <w:szCs w:val="32"/>
        </w:rPr>
        <w:t>》，明确各级国土资源执法监察机构审批流程、审批权限，让制度成为工作的可靠依据和操作手册。召开专题财务培训视频会议，针对财务管理工作、会计基础规范等多方面进行讲解和培训。督促各级机构依法依规依纪使用项目资金。</w:t>
      </w:r>
      <w:r>
        <w:rPr>
          <w:rFonts w:hint="eastAsia" w:ascii="仿宋_GB2312" w:hAnsi="仿宋" w:eastAsia="仿宋_GB2312"/>
          <w:sz w:val="32"/>
          <w:szCs w:val="32"/>
          <w:lang w:val="en-US" w:eastAsia="zh-CN"/>
        </w:rPr>
        <w:t>三是</w:t>
      </w:r>
      <w:r>
        <w:rPr>
          <w:rFonts w:hint="eastAsia" w:ascii="仿宋_GB2312" w:hAnsi="仿宋" w:eastAsia="仿宋_GB2312"/>
          <w:sz w:val="32"/>
          <w:szCs w:val="32"/>
        </w:rPr>
        <w:t>有效促进项目执行进度</w:t>
      </w:r>
      <w:r>
        <w:rPr>
          <w:rFonts w:hint="eastAsia" w:ascii="仿宋_GB2312" w:hAnsi="仿宋" w:eastAsia="仿宋_GB2312"/>
          <w:sz w:val="32"/>
          <w:szCs w:val="32"/>
          <w:lang w:eastAsia="zh-CN"/>
        </w:rPr>
        <w:t>。</w:t>
      </w:r>
      <w:r>
        <w:rPr>
          <w:rFonts w:hint="eastAsia" w:ascii="仿宋_GB2312" w:hAnsi="仿宋" w:eastAsia="仿宋_GB2312"/>
          <w:sz w:val="32"/>
          <w:szCs w:val="32"/>
        </w:rPr>
        <w:t>督促各级机构做好项目资金支付计划，要求各级机构的办公设备购置于项目资金下达后一个月内完成采购计划申请，6月30日前完成不低于60%的设备验收、付款手续，10月30日前完成所有设备的验收和付款手续。督促各级机构的执法办案补充经费按照每个月不低于8.3%进度要求执行。</w:t>
      </w:r>
    </w:p>
    <w:p w14:paraId="44C795A7">
      <w:pPr>
        <w:spacing w:line="520" w:lineRule="exact"/>
        <w:ind w:firstLine="640" w:firstLineChars="200"/>
        <w:rPr>
          <w:rFonts w:ascii="仿宋_GB2312" w:eastAsia="仿宋_GB2312"/>
          <w:sz w:val="32"/>
          <w:szCs w:val="32"/>
        </w:rPr>
      </w:pPr>
      <w:r>
        <w:rPr>
          <w:rFonts w:hint="eastAsia" w:ascii="仿宋_GB2312" w:eastAsia="仿宋_GB2312"/>
          <w:color w:val="auto"/>
          <w:sz w:val="32"/>
          <w:szCs w:val="32"/>
          <w:highlight w:val="none"/>
          <w:lang w:eastAsia="zh-CN"/>
        </w:rPr>
        <w:t>发现的问题及原因：</w:t>
      </w:r>
      <w:r>
        <w:rPr>
          <w:rFonts w:hint="eastAsia" w:ascii="仿宋_GB2312" w:eastAsia="仿宋_GB2312"/>
          <w:sz w:val="32"/>
          <w:szCs w:val="32"/>
          <w:lang w:eastAsia="zh-CN"/>
        </w:rPr>
        <w:t>一是</w:t>
      </w:r>
      <w:r>
        <w:rPr>
          <w:rFonts w:hint="eastAsia" w:ascii="仿宋_GB2312" w:eastAsia="仿宋_GB2312"/>
          <w:sz w:val="32"/>
          <w:szCs w:val="32"/>
        </w:rPr>
        <w:t>对绩效评价工作的认识不够深刻。在组织绩效评价工作的过程中，承担工作的机构是财务部门，其他部门只是事务性的配合，再加上县市国土资源执法监察大队人员少、没有专门的人员负责这项工作，目前还处于事务性工作的阶段，没有提升到管理层面。</w:t>
      </w:r>
      <w:r>
        <w:rPr>
          <w:rFonts w:hint="eastAsia" w:ascii="仿宋_GB2312" w:eastAsia="仿宋_GB2312"/>
          <w:sz w:val="32"/>
          <w:szCs w:val="32"/>
          <w:lang w:eastAsia="zh-CN"/>
        </w:rPr>
        <w:t>二是</w:t>
      </w:r>
      <w:r>
        <w:rPr>
          <w:rFonts w:hint="eastAsia" w:ascii="仿宋_GB2312" w:eastAsia="仿宋_GB2312"/>
          <w:sz w:val="32"/>
          <w:szCs w:val="32"/>
        </w:rPr>
        <w:t>绩效评价体系欠科学。绩效评价对于完成指标、效益指标、产出指标、质量指标、数量指标、时效性指标、社会效益指标等没有构建满足审核部门要求的指标体系，没有做到科学合理，和实际工作有偏差。</w:t>
      </w:r>
      <w:r>
        <w:rPr>
          <w:rFonts w:hint="eastAsia" w:ascii="仿宋_GB2312" w:eastAsia="仿宋_GB2312"/>
          <w:sz w:val="32"/>
          <w:szCs w:val="32"/>
          <w:lang w:eastAsia="zh-CN"/>
        </w:rPr>
        <w:t>三是</w:t>
      </w:r>
      <w:r>
        <w:rPr>
          <w:rFonts w:hint="eastAsia" w:ascii="仿宋_GB2312" w:eastAsia="仿宋_GB2312"/>
          <w:sz w:val="32"/>
          <w:szCs w:val="32"/>
        </w:rPr>
        <w:t xml:space="preserve">项目绩效目标级绩效指标设置不够细化，在实际实施绩效监控和绩效评价时较为困难。绩效目标的设置应符合量化、细化的要求。 </w:t>
      </w:r>
    </w:p>
    <w:p w14:paraId="12F0DFC4">
      <w:pPr>
        <w:spacing w:line="56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下一步改进措施：一是不断完善工作制度；二是不断加强学习，提升人员素质。具体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14:paraId="1A56DED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5BE4F67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14:paraId="188CD66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p>
    <w:p w14:paraId="47E6421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302F47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6A7D109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895184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4F0240C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053140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54D86FD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7065F28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6D27FDB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753B862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75CD8F3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1B0A701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11AB8DE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61A1417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6BBF08B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2256B9F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77126CD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3070E05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5FB025B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6D00287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293B52A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5D2D74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563850D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4505804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58F0FD8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5932C93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591943B3">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5A42477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55273DB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32F04B4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2684323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2CBBDA8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4FF52E7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0C50CD0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7B6F39E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0F19E70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51F4C83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44A4B4F5">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7D66B6B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3CA9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3831913">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3831913">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2D74856"/>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756C33"/>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EE5FAD"/>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4B4D6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8310</Words>
  <Characters>9364</Characters>
  <Lines>0</Lines>
  <Paragraphs>0</Paragraphs>
  <TotalTime>3</TotalTime>
  <ScaleCrop>false</ScaleCrop>
  <LinksUpToDate>false</LinksUpToDate>
  <CharactersWithSpaces>9397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2025-08-15T04:42:06Z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D624B15633CD43C8BF9435464A96BF70</vt:lpwstr>
  </property>
  <property fmtid="{D5CDD505-2E9C-101B-9397-08002B2CF9AE}" pid="4" name="KSOTemplateDocerSaveRecord">
    <vt:lpwstr>eyJoZGlkIjoiOGI4YzQyYzViNTJiMTBjODFiNWQ3OGVlYjhmNzkxY2EifQ==</vt:lpwstr>
  </property>
</Properties>
</file>